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B9AC1" w14:textId="77777777" w:rsidR="006E3A67" w:rsidRPr="00313FBF" w:rsidRDefault="006E3A67" w:rsidP="006E3A67">
      <w:pPr>
        <w:jc w:val="center"/>
        <w:rPr>
          <w:b/>
          <w:szCs w:val="24"/>
          <w:lang w:eastAsia="lt-LT"/>
        </w:rPr>
      </w:pPr>
      <w:r w:rsidRPr="00313FBF">
        <w:rPr>
          <w:b/>
          <w:szCs w:val="24"/>
          <w:lang w:eastAsia="lt-LT"/>
        </w:rPr>
        <w:t>KLAIPĖDOS LOPŠELIO-DARŽELIO „NYKŠTUKAS“</w:t>
      </w:r>
    </w:p>
    <w:p w14:paraId="2C2C645A" w14:textId="77777777" w:rsidR="006E3A67" w:rsidRPr="00313FBF" w:rsidRDefault="006E3A67" w:rsidP="006E3A67">
      <w:pPr>
        <w:jc w:val="center"/>
        <w:rPr>
          <w:b/>
          <w:szCs w:val="24"/>
          <w:lang w:eastAsia="lt-LT"/>
        </w:rPr>
      </w:pPr>
      <w:r w:rsidRPr="00313FBF">
        <w:rPr>
          <w:b/>
          <w:szCs w:val="24"/>
          <w:lang w:eastAsia="lt-LT"/>
        </w:rPr>
        <w:t>DIREKTORĖS DANGUOLĖS DAMBRAUSKIENĖS</w:t>
      </w:r>
    </w:p>
    <w:p w14:paraId="6C0BF979" w14:textId="710938D5" w:rsidR="00DE50E6" w:rsidRPr="00313FBF" w:rsidRDefault="00DE50E6" w:rsidP="006E3A67">
      <w:pPr>
        <w:jc w:val="center"/>
        <w:rPr>
          <w:b/>
          <w:szCs w:val="24"/>
          <w:lang w:eastAsia="lt-LT"/>
        </w:rPr>
      </w:pPr>
      <w:r w:rsidRPr="00313FBF">
        <w:rPr>
          <w:b/>
          <w:szCs w:val="24"/>
          <w:lang w:eastAsia="lt-LT"/>
        </w:rPr>
        <w:t>202</w:t>
      </w:r>
      <w:r w:rsidR="002329D1" w:rsidRPr="00313FBF">
        <w:rPr>
          <w:b/>
          <w:szCs w:val="24"/>
          <w:lang w:eastAsia="lt-LT"/>
        </w:rPr>
        <w:t>5</w:t>
      </w:r>
      <w:r w:rsidRPr="00313FBF">
        <w:rPr>
          <w:b/>
          <w:szCs w:val="24"/>
          <w:lang w:eastAsia="lt-LT"/>
        </w:rPr>
        <w:t xml:space="preserve"> METŲ VEIKLOS ATASKAITA</w:t>
      </w:r>
    </w:p>
    <w:p w14:paraId="226E7512" w14:textId="77777777" w:rsidR="00DE50E6" w:rsidRPr="00313FBF" w:rsidRDefault="00DE50E6" w:rsidP="00DE50E6">
      <w:pPr>
        <w:jc w:val="center"/>
        <w:rPr>
          <w:szCs w:val="24"/>
          <w:lang w:eastAsia="lt-LT"/>
        </w:rPr>
      </w:pPr>
    </w:p>
    <w:p w14:paraId="028DEC6A" w14:textId="77777777" w:rsidR="00DE50E6" w:rsidRPr="00313FBF" w:rsidRDefault="00DE50E6" w:rsidP="00DE50E6">
      <w:pPr>
        <w:jc w:val="center"/>
        <w:rPr>
          <w:lang w:eastAsia="lt-LT"/>
        </w:rPr>
      </w:pPr>
      <w:r w:rsidRPr="00313FBF">
        <w:rPr>
          <w:lang w:eastAsia="lt-LT"/>
        </w:rPr>
        <w:t xml:space="preserve">Nr. </w:t>
      </w:r>
    </w:p>
    <w:p w14:paraId="19B34CD1" w14:textId="77777777" w:rsidR="00DE50E6" w:rsidRPr="00313FBF" w:rsidRDefault="00DE50E6" w:rsidP="00DE50E6">
      <w:pPr>
        <w:jc w:val="center"/>
        <w:rPr>
          <w:lang w:eastAsia="lt-LT"/>
        </w:rPr>
      </w:pPr>
      <w:r w:rsidRPr="00313FBF">
        <w:rPr>
          <w:lang w:eastAsia="lt-LT"/>
        </w:rPr>
        <w:t>Klaipėda</w:t>
      </w:r>
    </w:p>
    <w:p w14:paraId="66BFE617" w14:textId="77777777" w:rsidR="00BC520C" w:rsidRPr="00313FBF" w:rsidRDefault="00BC520C">
      <w:pPr>
        <w:jc w:val="center"/>
        <w:rPr>
          <w:szCs w:val="24"/>
          <w:lang w:eastAsia="lt-LT"/>
        </w:rPr>
      </w:pPr>
    </w:p>
    <w:p w14:paraId="4B586173" w14:textId="77777777" w:rsidR="00BC520C" w:rsidRPr="00313FBF" w:rsidRDefault="00297AF4">
      <w:pPr>
        <w:jc w:val="center"/>
        <w:rPr>
          <w:b/>
          <w:szCs w:val="24"/>
          <w:lang w:eastAsia="lt-LT"/>
        </w:rPr>
      </w:pPr>
      <w:r w:rsidRPr="00313FBF">
        <w:rPr>
          <w:b/>
          <w:szCs w:val="24"/>
          <w:lang w:eastAsia="lt-LT"/>
        </w:rPr>
        <w:t>I SKYRIUS</w:t>
      </w:r>
    </w:p>
    <w:p w14:paraId="189F6760" w14:textId="77777777" w:rsidR="00BC520C" w:rsidRPr="00313FBF" w:rsidRDefault="00297AF4">
      <w:pPr>
        <w:jc w:val="center"/>
        <w:rPr>
          <w:b/>
          <w:szCs w:val="24"/>
          <w:lang w:eastAsia="lt-LT"/>
        </w:rPr>
      </w:pPr>
      <w:r w:rsidRPr="00313FBF">
        <w:rPr>
          <w:b/>
          <w:szCs w:val="24"/>
          <w:lang w:eastAsia="lt-LT"/>
        </w:rPr>
        <w:t>STRATEGINIO PLANO IR METINIO VEIKLOS PLANO ĮGYVENDINIMAS</w:t>
      </w:r>
    </w:p>
    <w:p w14:paraId="364D853F" w14:textId="77777777" w:rsidR="00BC520C" w:rsidRPr="00313FBF" w:rsidRDefault="00BC520C">
      <w:pPr>
        <w:jc w:val="center"/>
        <w:rPr>
          <w:b/>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C520C" w:rsidRPr="00313FBF" w14:paraId="5E79B1EF" w14:textId="77777777" w:rsidTr="002F37A6">
        <w:tc>
          <w:tcPr>
            <w:tcW w:w="9520" w:type="dxa"/>
          </w:tcPr>
          <w:p w14:paraId="3FE808B6" w14:textId="45738664" w:rsidR="006D31B3" w:rsidRPr="00313FBF" w:rsidRDefault="006D31B3" w:rsidP="006D31B3">
            <w:pPr>
              <w:tabs>
                <w:tab w:val="left" w:pos="851"/>
              </w:tabs>
              <w:jc w:val="both"/>
              <w:rPr>
                <w:sz w:val="22"/>
                <w:szCs w:val="22"/>
              </w:rPr>
            </w:pPr>
            <w:r w:rsidRPr="00313FBF">
              <w:rPr>
                <w:sz w:val="22"/>
                <w:szCs w:val="22"/>
              </w:rPr>
              <w:tab/>
            </w:r>
            <w:r w:rsidR="00E23753" w:rsidRPr="00313FBF">
              <w:rPr>
                <w:sz w:val="22"/>
                <w:szCs w:val="22"/>
              </w:rPr>
              <w:t>Klaipėdos lopšelis-darželis „Nykštukas“ (toliau – Įstaiga) įgyvendina ikimokyklinio ugdymo</w:t>
            </w:r>
            <w:r w:rsidR="00961487" w:rsidRPr="00313FBF">
              <w:rPr>
                <w:sz w:val="22"/>
                <w:szCs w:val="22"/>
              </w:rPr>
              <w:t xml:space="preserve"> (toliau – IU)</w:t>
            </w:r>
            <w:r w:rsidR="00E23753" w:rsidRPr="00313FBF">
              <w:rPr>
                <w:sz w:val="22"/>
                <w:szCs w:val="22"/>
              </w:rPr>
              <w:t xml:space="preserve"> programą, bendrąją priešmokyklinio ugdymo</w:t>
            </w:r>
            <w:r w:rsidR="00961487" w:rsidRPr="00313FBF">
              <w:rPr>
                <w:sz w:val="22"/>
                <w:szCs w:val="22"/>
              </w:rPr>
              <w:t xml:space="preserve"> (toliau – PU)</w:t>
            </w:r>
            <w:r w:rsidR="00E23753" w:rsidRPr="00313FBF">
              <w:rPr>
                <w:sz w:val="22"/>
                <w:szCs w:val="22"/>
              </w:rPr>
              <w:t xml:space="preserve"> programą ir neformaliojo vaikų švietimo (toliau – NVŠ) teatrinio ugdymo, šešėlių teatro programas. 2025 m. rugsėjo 1 d. duomenimis Įstaigoje ugdyti 152 ugdytiniai (2024 m. – 168). Sumažėjo 1–3 metų amžiaus vaikų skaičius. Buvo suformuotos 2 priešmokyklinio ugdymo grupės, 9 ikimokyklinio ugdymo grupės, iš jų 3 ankstyvojo amžiaus. Ugdymas organizuotas pagal 10,5 val. modelį. 2025 m. rugsėjo 1 d. Įstaigoje dirbo 28 pedagogai ir 24 nepedagoginiai darbuotojai. </w:t>
            </w:r>
          </w:p>
          <w:p w14:paraId="62EC6C10" w14:textId="77777777" w:rsidR="006D31B3" w:rsidRPr="00313FBF" w:rsidRDefault="006D31B3" w:rsidP="006D31B3">
            <w:pPr>
              <w:tabs>
                <w:tab w:val="left" w:pos="851"/>
              </w:tabs>
              <w:jc w:val="both"/>
              <w:rPr>
                <w:sz w:val="22"/>
                <w:szCs w:val="22"/>
              </w:rPr>
            </w:pPr>
            <w:r w:rsidRPr="00313FBF">
              <w:rPr>
                <w:sz w:val="22"/>
                <w:szCs w:val="22"/>
              </w:rPr>
              <w:tab/>
            </w:r>
            <w:r w:rsidR="00E23753" w:rsidRPr="00313FBF">
              <w:rPr>
                <w:sz w:val="22"/>
                <w:szCs w:val="22"/>
              </w:rPr>
              <w:t xml:space="preserve">Praėjusiais metais Įstaiga veikė vadovaudamasi 2025–2027 m. strateginiu planu (toliau – Strateginis planas) ir 2025 m. veiklos planu (toliau – Veiklos planas). Įstaigos bendruomenė 2025 m. susitarė dėl prioritetinių veiklos krypčių: 1) kokybiško ugdymo teikimas, sudarant sąlygas įvairiai ugdytinių patirčiai; 2) sąlygų ugdytis kiekvienam vaikui, teikiant veiksmingą švietimo pagalbą, sudarymas; 3) saugios, šiuolaikiškos ugdymo(si) aplinkos kūrimas. Strateginiame ir Veiklos planuose buvo iškelti konkretūs tikslai ir uždaviniai, numatytos priemonės rezultatams pasiekti. </w:t>
            </w:r>
          </w:p>
          <w:p w14:paraId="661D57C6" w14:textId="41F1A715" w:rsidR="006D31B3" w:rsidRPr="00313FBF" w:rsidRDefault="006D31B3" w:rsidP="006D31B3">
            <w:pPr>
              <w:tabs>
                <w:tab w:val="left" w:pos="851"/>
              </w:tabs>
              <w:jc w:val="both"/>
              <w:rPr>
                <w:sz w:val="22"/>
                <w:szCs w:val="22"/>
              </w:rPr>
            </w:pPr>
            <w:r w:rsidRPr="00313FBF">
              <w:rPr>
                <w:sz w:val="22"/>
                <w:szCs w:val="22"/>
              </w:rPr>
              <w:tab/>
            </w:r>
            <w:r w:rsidR="00E23753" w:rsidRPr="00313FBF">
              <w:rPr>
                <w:sz w:val="22"/>
                <w:szCs w:val="22"/>
              </w:rPr>
              <w:t xml:space="preserve">Siekiant </w:t>
            </w:r>
            <w:r w:rsidR="005C3E69" w:rsidRPr="00313FBF">
              <w:rPr>
                <w:sz w:val="22"/>
                <w:szCs w:val="22"/>
              </w:rPr>
              <w:t xml:space="preserve">pirmojo </w:t>
            </w:r>
            <w:r w:rsidR="00E23753" w:rsidRPr="00313FBF">
              <w:rPr>
                <w:sz w:val="22"/>
                <w:szCs w:val="22"/>
              </w:rPr>
              <w:t xml:space="preserve">Strateginio plano tikslo – užtikrinti kokybišką ugdymą, sudarant sąlygas įvairiai ugdytinių patirčiai, fiziniam aktyvumui – </w:t>
            </w:r>
            <w:r w:rsidR="00816CC0" w:rsidRPr="00313FBF">
              <w:rPr>
                <w:sz w:val="22"/>
                <w:szCs w:val="22"/>
              </w:rPr>
              <w:t xml:space="preserve">Įstaigos </w:t>
            </w:r>
            <w:r w:rsidR="00E23753" w:rsidRPr="00313FBF">
              <w:rPr>
                <w:sz w:val="22"/>
                <w:szCs w:val="22"/>
              </w:rPr>
              <w:t>veikla buvo orientuojama į vykdomų ugdymo programų atna</w:t>
            </w:r>
            <w:r w:rsidR="00BF0D47" w:rsidRPr="00313FBF">
              <w:rPr>
                <w:sz w:val="22"/>
                <w:szCs w:val="22"/>
              </w:rPr>
              <w:t xml:space="preserve">ujinimą, pasiekimų ir pažangos </w:t>
            </w:r>
            <w:r w:rsidR="00E23753" w:rsidRPr="00313FBF">
              <w:rPr>
                <w:sz w:val="22"/>
                <w:szCs w:val="22"/>
              </w:rPr>
              <w:t>analizavimą, vaikų saviraišk</w:t>
            </w:r>
            <w:r w:rsidR="00BF0D47" w:rsidRPr="00313FBF">
              <w:rPr>
                <w:sz w:val="22"/>
                <w:szCs w:val="22"/>
              </w:rPr>
              <w:t>os skatinimą ir palaikymą</w:t>
            </w:r>
            <w:r w:rsidR="00E23753" w:rsidRPr="00313FBF">
              <w:rPr>
                <w:sz w:val="22"/>
                <w:szCs w:val="22"/>
              </w:rPr>
              <w:t>, ugdymosi aplinkos turtinimą.</w:t>
            </w:r>
            <w:r w:rsidR="00816CC0" w:rsidRPr="00313FBF">
              <w:rPr>
                <w:sz w:val="22"/>
                <w:szCs w:val="22"/>
              </w:rPr>
              <w:t xml:space="preserve"> </w:t>
            </w:r>
            <w:r w:rsidR="00E23753" w:rsidRPr="00313FBF">
              <w:rPr>
                <w:sz w:val="22"/>
                <w:szCs w:val="22"/>
              </w:rPr>
              <w:t xml:space="preserve">Tikslui pasiekti buvo vykdomi </w:t>
            </w:r>
            <w:r w:rsidR="00961487" w:rsidRPr="00313FBF">
              <w:rPr>
                <w:sz w:val="22"/>
                <w:szCs w:val="22"/>
              </w:rPr>
              <w:t>du</w:t>
            </w:r>
            <w:r w:rsidR="00E23753" w:rsidRPr="00313FBF">
              <w:rPr>
                <w:sz w:val="22"/>
                <w:szCs w:val="22"/>
              </w:rPr>
              <w:t xml:space="preserve"> </w:t>
            </w:r>
            <w:r w:rsidR="004A287D" w:rsidRPr="00313FBF">
              <w:rPr>
                <w:sz w:val="22"/>
                <w:szCs w:val="22"/>
              </w:rPr>
              <w:t xml:space="preserve">Veiklos plano </w:t>
            </w:r>
            <w:r w:rsidR="00E23753" w:rsidRPr="00313FBF">
              <w:rPr>
                <w:sz w:val="22"/>
                <w:szCs w:val="22"/>
              </w:rPr>
              <w:t>uždaviniai</w:t>
            </w:r>
            <w:r w:rsidR="00C3128F" w:rsidRPr="00313FBF">
              <w:rPr>
                <w:sz w:val="22"/>
                <w:szCs w:val="22"/>
              </w:rPr>
              <w:t>.</w:t>
            </w:r>
            <w:r w:rsidR="00E23753" w:rsidRPr="00313FBF">
              <w:rPr>
                <w:sz w:val="22"/>
                <w:szCs w:val="22"/>
              </w:rPr>
              <w:t xml:space="preserve"> </w:t>
            </w:r>
          </w:p>
          <w:p w14:paraId="2D8714C9" w14:textId="39CC3EFB" w:rsidR="00B63796" w:rsidRPr="00313FBF" w:rsidRDefault="006D31B3" w:rsidP="006D31B3">
            <w:pPr>
              <w:tabs>
                <w:tab w:val="left" w:pos="851"/>
              </w:tabs>
              <w:jc w:val="both"/>
              <w:rPr>
                <w:sz w:val="22"/>
                <w:szCs w:val="22"/>
              </w:rPr>
            </w:pPr>
            <w:r w:rsidRPr="00313FBF">
              <w:rPr>
                <w:sz w:val="22"/>
                <w:szCs w:val="22"/>
              </w:rPr>
              <w:tab/>
            </w:r>
            <w:r w:rsidR="00C3128F" w:rsidRPr="00313FBF">
              <w:rPr>
                <w:sz w:val="22"/>
                <w:szCs w:val="22"/>
              </w:rPr>
              <w:t>Į</w:t>
            </w:r>
            <w:r w:rsidR="00E23753" w:rsidRPr="00313FBF">
              <w:rPr>
                <w:sz w:val="22"/>
                <w:szCs w:val="22"/>
              </w:rPr>
              <w:t>gyvendinant pirmąjį uždavinį –</w:t>
            </w:r>
            <w:r w:rsidR="00C3128F" w:rsidRPr="00313FBF">
              <w:rPr>
                <w:sz w:val="22"/>
                <w:szCs w:val="22"/>
              </w:rPr>
              <w:t xml:space="preserve"> </w:t>
            </w:r>
            <w:r w:rsidR="00A2154A" w:rsidRPr="00313FBF">
              <w:rPr>
                <w:sz w:val="22"/>
                <w:szCs w:val="22"/>
              </w:rPr>
              <w:t xml:space="preserve">vykdyti </w:t>
            </w:r>
            <w:r w:rsidR="00E23753" w:rsidRPr="00313FBF">
              <w:rPr>
                <w:sz w:val="22"/>
                <w:szCs w:val="22"/>
              </w:rPr>
              <w:t xml:space="preserve">atnaujinto </w:t>
            </w:r>
            <w:r w:rsidR="00961487" w:rsidRPr="00313FBF">
              <w:rPr>
                <w:sz w:val="22"/>
                <w:szCs w:val="22"/>
              </w:rPr>
              <w:t>IU ir</w:t>
            </w:r>
            <w:r w:rsidR="00E23753" w:rsidRPr="00313FBF">
              <w:rPr>
                <w:sz w:val="22"/>
                <w:szCs w:val="22"/>
              </w:rPr>
              <w:t xml:space="preserve"> </w:t>
            </w:r>
            <w:r w:rsidR="00961487" w:rsidRPr="00313FBF">
              <w:rPr>
                <w:sz w:val="22"/>
                <w:szCs w:val="22"/>
              </w:rPr>
              <w:t>PU turinio</w:t>
            </w:r>
            <w:r w:rsidR="00E23753" w:rsidRPr="00313FBF">
              <w:rPr>
                <w:sz w:val="22"/>
                <w:szCs w:val="22"/>
              </w:rPr>
              <w:t xml:space="preserve">, </w:t>
            </w:r>
            <w:r w:rsidR="0096670D" w:rsidRPr="00313FBF">
              <w:rPr>
                <w:sz w:val="22"/>
                <w:szCs w:val="22"/>
              </w:rPr>
              <w:t>NVŠ</w:t>
            </w:r>
            <w:r w:rsidR="00E23753" w:rsidRPr="00313FBF">
              <w:rPr>
                <w:sz w:val="22"/>
                <w:szCs w:val="22"/>
              </w:rPr>
              <w:t xml:space="preserve"> turinio programas ir jų veiksmingumo stebėseną, taikant LEAN metodiką</w:t>
            </w:r>
            <w:r w:rsidR="004A287D" w:rsidRPr="00313FBF">
              <w:rPr>
                <w:sz w:val="22"/>
                <w:szCs w:val="22"/>
              </w:rPr>
              <w:t>,</w:t>
            </w:r>
            <w:r w:rsidR="00E23753" w:rsidRPr="00313FBF">
              <w:rPr>
                <w:sz w:val="22"/>
                <w:szCs w:val="22"/>
              </w:rPr>
              <w:t xml:space="preserve"> </w:t>
            </w:r>
            <w:r w:rsidR="00464C58" w:rsidRPr="00313FBF">
              <w:rPr>
                <w:sz w:val="22"/>
                <w:szCs w:val="22"/>
              </w:rPr>
              <w:t>–</w:t>
            </w:r>
            <w:r w:rsidR="00961487" w:rsidRPr="00313FBF">
              <w:rPr>
                <w:sz w:val="22"/>
                <w:szCs w:val="22"/>
              </w:rPr>
              <w:t xml:space="preserve"> </w:t>
            </w:r>
            <w:r w:rsidR="00156878" w:rsidRPr="00313FBF">
              <w:rPr>
                <w:sz w:val="22"/>
                <w:szCs w:val="22"/>
              </w:rPr>
              <w:t>a</w:t>
            </w:r>
            <w:r w:rsidR="00961487" w:rsidRPr="00313FBF">
              <w:rPr>
                <w:sz w:val="22"/>
                <w:szCs w:val="22"/>
              </w:rPr>
              <w:t>tnaujintų IU ir PU</w:t>
            </w:r>
            <w:r w:rsidR="00156878" w:rsidRPr="00313FBF">
              <w:rPr>
                <w:sz w:val="22"/>
                <w:szCs w:val="22"/>
              </w:rPr>
              <w:t xml:space="preserve"> turinio programų įgyvendinimo stebėsena vykdyta taikant </w:t>
            </w:r>
            <w:r w:rsidR="00961487" w:rsidRPr="00313FBF">
              <w:rPr>
                <w:sz w:val="22"/>
                <w:szCs w:val="22"/>
              </w:rPr>
              <w:t>pasirinktą</w:t>
            </w:r>
            <w:r w:rsidR="00156878" w:rsidRPr="00313FBF">
              <w:rPr>
                <w:sz w:val="22"/>
                <w:szCs w:val="22"/>
              </w:rPr>
              <w:t xml:space="preserve"> metodiką. Su pedagogais susitarta dėl siektinų rodiklių: 1) mokymasis mintinai, 2) žaidimas (pat</w:t>
            </w:r>
            <w:r w:rsidR="00E47FF8" w:rsidRPr="00313FBF">
              <w:rPr>
                <w:sz w:val="22"/>
                <w:szCs w:val="22"/>
              </w:rPr>
              <w:t>y</w:t>
            </w:r>
            <w:r w:rsidR="00156878" w:rsidRPr="00313FBF">
              <w:rPr>
                <w:sz w:val="22"/>
                <w:szCs w:val="22"/>
              </w:rPr>
              <w:t>riminis, didaktinis, pagal amžių, ugdymosi pakopas, pasiekimų sritims stiprinti), 3) vaikų emocijų termometras, 4) ugdymosi kontekstai (vaikų idėjoms generuoti), 5) vaikų traumos.</w:t>
            </w:r>
            <w:r w:rsidR="00961487" w:rsidRPr="00313FBF">
              <w:rPr>
                <w:sz w:val="22"/>
                <w:szCs w:val="22"/>
              </w:rPr>
              <w:t xml:space="preserve"> Rodiklių vertės buvo fiksuojamos ir pasiekimai aptariami kassavaitiniuose susirinkimuose. </w:t>
            </w:r>
            <w:r w:rsidR="00156878" w:rsidRPr="00313FBF">
              <w:rPr>
                <w:sz w:val="22"/>
                <w:szCs w:val="22"/>
              </w:rPr>
              <w:t>Kryptingai tobulinta mokytojų kvalifikacija: daugiau nei 90 % mokytojų kvalifikaciją tobulino daugiau nei 30 valandų per metus (2024 m. – 85 % mokytojų kvalifikaciją tobulino daugiau nei 30 val.). Sėkmingi LEAN metodikos taikymo pavyzdžiai pristatyti Įstaigoje organizuotoje Respublikinėje metodinėje dienoje. Mokytojai</w:t>
            </w:r>
            <w:r w:rsidR="00961487" w:rsidRPr="00313FBF">
              <w:rPr>
                <w:sz w:val="22"/>
                <w:szCs w:val="22"/>
              </w:rPr>
              <w:t xml:space="preserve"> skaitė pranešimus apie praktinį</w:t>
            </w:r>
            <w:r w:rsidR="00156878" w:rsidRPr="00313FBF">
              <w:rPr>
                <w:sz w:val="22"/>
                <w:szCs w:val="22"/>
              </w:rPr>
              <w:t xml:space="preserve"> Asaichi</w:t>
            </w:r>
            <w:r w:rsidR="00961487" w:rsidRPr="00313FBF">
              <w:rPr>
                <w:sz w:val="22"/>
                <w:szCs w:val="22"/>
              </w:rPr>
              <w:t xml:space="preserve"> ir Kaizen</w:t>
            </w:r>
            <w:r w:rsidR="00156878" w:rsidRPr="00313FBF">
              <w:rPr>
                <w:sz w:val="22"/>
                <w:szCs w:val="22"/>
              </w:rPr>
              <w:t xml:space="preserve"> įranki</w:t>
            </w:r>
            <w:r w:rsidR="00961487" w:rsidRPr="00313FBF">
              <w:rPr>
                <w:sz w:val="22"/>
                <w:szCs w:val="22"/>
              </w:rPr>
              <w:t>ų</w:t>
            </w:r>
            <w:r w:rsidR="00156878" w:rsidRPr="00313FBF">
              <w:rPr>
                <w:sz w:val="22"/>
                <w:szCs w:val="22"/>
              </w:rPr>
              <w:t xml:space="preserve"> taikymą </w:t>
            </w:r>
            <w:r w:rsidR="00961487" w:rsidRPr="00313FBF">
              <w:rPr>
                <w:sz w:val="22"/>
                <w:szCs w:val="22"/>
              </w:rPr>
              <w:t xml:space="preserve">Įstaigos veiklos ir ugdytinių </w:t>
            </w:r>
            <w:r w:rsidR="00156878" w:rsidRPr="00313FBF">
              <w:rPr>
                <w:sz w:val="22"/>
                <w:szCs w:val="22"/>
              </w:rPr>
              <w:t>pasiekimų gerinimui</w:t>
            </w:r>
            <w:r w:rsidR="00961487" w:rsidRPr="00313FBF">
              <w:rPr>
                <w:sz w:val="22"/>
                <w:szCs w:val="22"/>
              </w:rPr>
              <w:t xml:space="preserve">. Grupėse įrengtas </w:t>
            </w:r>
            <w:r w:rsidR="00156878" w:rsidRPr="00313FBF">
              <w:rPr>
                <w:sz w:val="22"/>
                <w:szCs w:val="22"/>
              </w:rPr>
              <w:t>informacinis stendas tėvams: „LEAN metodikos elementų taikymas ugdymo procese. Vaikų pasiekimai: sąlygos vaikų pasiekimų augimui“</w:t>
            </w:r>
            <w:r w:rsidR="00961487" w:rsidRPr="00313FBF">
              <w:rPr>
                <w:sz w:val="22"/>
                <w:szCs w:val="22"/>
              </w:rPr>
              <w:t>, kuriame periodiškai atnaujinama informacija</w:t>
            </w:r>
            <w:r w:rsidR="00156878" w:rsidRPr="00313FBF">
              <w:rPr>
                <w:sz w:val="22"/>
                <w:szCs w:val="22"/>
              </w:rPr>
              <w:t xml:space="preserve">. </w:t>
            </w:r>
            <w:r w:rsidR="00B63796" w:rsidRPr="00313FBF">
              <w:rPr>
                <w:sz w:val="22"/>
                <w:szCs w:val="22"/>
              </w:rPr>
              <w:tab/>
            </w:r>
            <w:r w:rsidR="00156878" w:rsidRPr="00313FBF">
              <w:rPr>
                <w:sz w:val="22"/>
                <w:szCs w:val="22"/>
              </w:rPr>
              <w:t xml:space="preserve">Atnaujintame IU turinyje integruotos socialinio emocinio ugdymo programos „Kimochi“ ir „Antras žingsnis darželiams“. Priešmokyklinio ugdymo grupėse vykdoma programa „Zipio draugai“. </w:t>
            </w:r>
          </w:p>
          <w:p w14:paraId="784C272D" w14:textId="38072A2D" w:rsidR="00B63796" w:rsidRPr="00313FBF" w:rsidRDefault="00B63796" w:rsidP="00E47FF8">
            <w:pPr>
              <w:tabs>
                <w:tab w:val="left" w:pos="851"/>
              </w:tabs>
              <w:jc w:val="both"/>
              <w:rPr>
                <w:sz w:val="22"/>
                <w:szCs w:val="22"/>
              </w:rPr>
            </w:pPr>
            <w:r w:rsidRPr="00313FBF">
              <w:rPr>
                <w:sz w:val="22"/>
                <w:szCs w:val="22"/>
              </w:rPr>
              <w:tab/>
            </w:r>
            <w:r w:rsidR="00156878" w:rsidRPr="00313FBF">
              <w:rPr>
                <w:sz w:val="22"/>
                <w:szCs w:val="22"/>
              </w:rPr>
              <w:t xml:space="preserve">Darželyje vykdytos NVŠ programos papildė IU ir PU programas. Vaikų vaidinami šešėlių teatro spektakliai buvo atliekami </w:t>
            </w:r>
            <w:r w:rsidR="00F35168" w:rsidRPr="00313FBF">
              <w:rPr>
                <w:sz w:val="22"/>
                <w:szCs w:val="22"/>
              </w:rPr>
              <w:t xml:space="preserve">bendraamžiams </w:t>
            </w:r>
            <w:r w:rsidR="00156878" w:rsidRPr="00313FBF">
              <w:rPr>
                <w:sz w:val="22"/>
                <w:szCs w:val="22"/>
              </w:rPr>
              <w:t>Įstaigos švenčių metu, organizuoti specialūs pasirodymai tėvams, kur</w:t>
            </w:r>
            <w:r w:rsidR="00F35168" w:rsidRPr="00313FBF">
              <w:rPr>
                <w:sz w:val="22"/>
                <w:szCs w:val="22"/>
              </w:rPr>
              <w:t>iuose</w:t>
            </w:r>
            <w:r w:rsidR="00156878" w:rsidRPr="00313FBF">
              <w:rPr>
                <w:sz w:val="22"/>
                <w:szCs w:val="22"/>
              </w:rPr>
              <w:t xml:space="preserve"> vaikai demonstravo </w:t>
            </w:r>
            <w:r w:rsidR="00F35168" w:rsidRPr="00313FBF">
              <w:rPr>
                <w:sz w:val="22"/>
                <w:szCs w:val="22"/>
              </w:rPr>
              <w:t xml:space="preserve">naujai </w:t>
            </w:r>
            <w:r w:rsidR="00156878" w:rsidRPr="00313FBF">
              <w:rPr>
                <w:sz w:val="22"/>
                <w:szCs w:val="22"/>
              </w:rPr>
              <w:t>įgytus įgūdžius</w:t>
            </w:r>
            <w:r w:rsidR="00F35168" w:rsidRPr="00313FBF">
              <w:rPr>
                <w:sz w:val="22"/>
                <w:szCs w:val="22"/>
              </w:rPr>
              <w:t xml:space="preserve"> ar patobulintas kompetencijas</w:t>
            </w:r>
            <w:r w:rsidR="00156878" w:rsidRPr="00313FBF">
              <w:rPr>
                <w:sz w:val="22"/>
                <w:szCs w:val="22"/>
              </w:rPr>
              <w:t xml:space="preserve">. </w:t>
            </w:r>
            <w:r w:rsidR="00E47FF8" w:rsidRPr="00313FBF">
              <w:rPr>
                <w:sz w:val="22"/>
                <w:szCs w:val="22"/>
              </w:rPr>
              <w:t xml:space="preserve">Gegužės mėnesį atliktas teatro programos įgyvendinimo Klaipėdos lopšelyje – darželyje „Nykštukas“ įsivertinimas, kuriame dalyvavo 19 pedagogų. Pedagogai </w:t>
            </w:r>
            <w:r w:rsidR="00822007" w:rsidRPr="00313FBF">
              <w:rPr>
                <w:sz w:val="22"/>
                <w:szCs w:val="22"/>
              </w:rPr>
              <w:t>akcentavo stipriąsias teatro programos įgyvendi</w:t>
            </w:r>
            <w:r w:rsidR="00817184">
              <w:rPr>
                <w:sz w:val="22"/>
                <w:szCs w:val="22"/>
              </w:rPr>
              <w:t>nimo</w:t>
            </w:r>
            <w:r w:rsidR="00822007" w:rsidRPr="00313FBF">
              <w:rPr>
                <w:sz w:val="22"/>
                <w:szCs w:val="22"/>
              </w:rPr>
              <w:t xml:space="preserve"> puses: </w:t>
            </w:r>
            <w:r w:rsidR="00E47FF8" w:rsidRPr="00313FBF">
              <w:rPr>
                <w:sz w:val="22"/>
                <w:szCs w:val="22"/>
              </w:rPr>
              <w:t xml:space="preserve"> teatro programos įgyvendinimui pritaikyt</w:t>
            </w:r>
            <w:r w:rsidR="005B2272" w:rsidRPr="00313FBF">
              <w:rPr>
                <w:sz w:val="22"/>
                <w:szCs w:val="22"/>
              </w:rPr>
              <w:t>as</w:t>
            </w:r>
            <w:r w:rsidR="00E47FF8" w:rsidRPr="00313FBF">
              <w:rPr>
                <w:sz w:val="22"/>
                <w:szCs w:val="22"/>
              </w:rPr>
              <w:t xml:space="preserve"> aplink</w:t>
            </w:r>
            <w:r w:rsidR="005B2272" w:rsidRPr="00313FBF">
              <w:rPr>
                <w:sz w:val="22"/>
                <w:szCs w:val="22"/>
              </w:rPr>
              <w:t>a</w:t>
            </w:r>
            <w:r w:rsidR="00E47FF8" w:rsidRPr="00313FBF">
              <w:rPr>
                <w:sz w:val="22"/>
                <w:szCs w:val="22"/>
              </w:rPr>
              <w:t>s, įrangos ir priemonių</w:t>
            </w:r>
            <w:r w:rsidR="000C5C1E" w:rsidRPr="00313FBF">
              <w:rPr>
                <w:sz w:val="22"/>
                <w:szCs w:val="22"/>
              </w:rPr>
              <w:t xml:space="preserve"> gausą ir įvairovę, </w:t>
            </w:r>
            <w:r w:rsidR="00E47FF8" w:rsidRPr="00313FBF">
              <w:rPr>
                <w:sz w:val="22"/>
                <w:szCs w:val="22"/>
              </w:rPr>
              <w:t xml:space="preserve">teatro mokytojos dalykines kompetencijas, </w:t>
            </w:r>
            <w:r w:rsidR="000C5C1E" w:rsidRPr="00313FBF">
              <w:rPr>
                <w:sz w:val="22"/>
                <w:szCs w:val="22"/>
              </w:rPr>
              <w:t xml:space="preserve">atsižvelgimą į vaikų dienos ritmą bei amžių, įvairių ugdymo(si) poreikių vaikų dalyvavimą teatro programos veiklose, </w:t>
            </w:r>
            <w:r w:rsidR="00E47FF8" w:rsidRPr="00313FBF">
              <w:rPr>
                <w:sz w:val="22"/>
                <w:szCs w:val="22"/>
              </w:rPr>
              <w:t>taikom</w:t>
            </w:r>
            <w:r w:rsidR="00817184">
              <w:rPr>
                <w:sz w:val="22"/>
                <w:szCs w:val="22"/>
              </w:rPr>
              <w:t>os</w:t>
            </w:r>
            <w:r w:rsidR="00E47FF8" w:rsidRPr="00313FBF">
              <w:rPr>
                <w:sz w:val="22"/>
                <w:szCs w:val="22"/>
              </w:rPr>
              <w:t xml:space="preserve"> ugdymo(si) strategijos poveikį vaikų saviraiškai, pasitikėjimui</w:t>
            </w:r>
            <w:r w:rsidR="000C5C1E" w:rsidRPr="00313FBF">
              <w:rPr>
                <w:sz w:val="22"/>
                <w:szCs w:val="22"/>
              </w:rPr>
              <w:t xml:space="preserve"> savo jėgomis</w:t>
            </w:r>
            <w:r w:rsidR="00E47FF8" w:rsidRPr="00313FBF">
              <w:rPr>
                <w:sz w:val="22"/>
                <w:szCs w:val="22"/>
              </w:rPr>
              <w:t xml:space="preserve">. </w:t>
            </w:r>
            <w:r w:rsidR="00822007" w:rsidRPr="00313FBF">
              <w:rPr>
                <w:sz w:val="22"/>
                <w:szCs w:val="22"/>
              </w:rPr>
              <w:t xml:space="preserve">Pedagogai pasigenda teatro veiklų už įstaigos ribų, teatro mokytojos dalijimosi patirtimi ir bendradarbiavimo su įstaigos pedagogais ir tėvais, siekiant gerinti ugdymo kokybę, tėvų įsitraukimo į teatro programos įgyvendinimą, vaikų stipriųjų unikalių savybių atskleidimo, atsižvelgimo į vaikų individualius ugdymo(si) poreikius: nėra parenkamos užduotys, priemonės, individualūs ugdymo(si) metodai. </w:t>
            </w:r>
          </w:p>
          <w:p w14:paraId="6CB5F152" w14:textId="77777777" w:rsidR="00B63796" w:rsidRPr="00313FBF" w:rsidRDefault="00B63796" w:rsidP="006D31B3">
            <w:pPr>
              <w:tabs>
                <w:tab w:val="left" w:pos="851"/>
              </w:tabs>
              <w:jc w:val="both"/>
              <w:rPr>
                <w:sz w:val="22"/>
                <w:szCs w:val="22"/>
              </w:rPr>
            </w:pPr>
            <w:r w:rsidRPr="00313FBF">
              <w:rPr>
                <w:sz w:val="22"/>
                <w:szCs w:val="22"/>
              </w:rPr>
              <w:tab/>
            </w:r>
            <w:r w:rsidR="00C070C3" w:rsidRPr="00313FBF">
              <w:rPr>
                <w:sz w:val="22"/>
                <w:szCs w:val="22"/>
              </w:rPr>
              <w:t>Stiprinant</w:t>
            </w:r>
            <w:r w:rsidR="00156878" w:rsidRPr="00313FBF">
              <w:rPr>
                <w:sz w:val="22"/>
                <w:szCs w:val="22"/>
              </w:rPr>
              <w:t xml:space="preserve"> įtrauktį l</w:t>
            </w:r>
            <w:r w:rsidR="00C070C3" w:rsidRPr="00313FBF">
              <w:rPr>
                <w:sz w:val="22"/>
                <w:szCs w:val="22"/>
              </w:rPr>
              <w:t>o</w:t>
            </w:r>
            <w:r w:rsidR="00156878" w:rsidRPr="00313FBF">
              <w:rPr>
                <w:sz w:val="22"/>
                <w:szCs w:val="22"/>
              </w:rPr>
              <w:t xml:space="preserve">gopedo pagalba buvo teikiama 41 (33 %) ugdytiniui, iš jų 4 ugdytiniams su dideliais specialiaisiais ugdymosi poreikiais. </w:t>
            </w:r>
          </w:p>
          <w:p w14:paraId="7CC21844" w14:textId="29D7A7D3" w:rsidR="00156878" w:rsidRPr="00313FBF" w:rsidRDefault="00B63796" w:rsidP="006D31B3">
            <w:pPr>
              <w:tabs>
                <w:tab w:val="left" w:pos="851"/>
              </w:tabs>
              <w:jc w:val="both"/>
              <w:rPr>
                <w:sz w:val="22"/>
                <w:szCs w:val="22"/>
              </w:rPr>
            </w:pPr>
            <w:r w:rsidRPr="00313FBF">
              <w:rPr>
                <w:sz w:val="22"/>
                <w:szCs w:val="22"/>
              </w:rPr>
              <w:lastRenderedPageBreak/>
              <w:tab/>
            </w:r>
            <w:r w:rsidR="003337D0" w:rsidRPr="00781337">
              <w:rPr>
                <w:sz w:val="22"/>
                <w:szCs w:val="22"/>
              </w:rPr>
              <w:t>Programų įgyvendinimo veiksmingumas buvo stebimas naudojantis elektroniniu dienynu „Mūsų darželis“ (toliau – elektroninis dienynas), stebint ugdomąsias veiklas ir analizuojant mokytojų bei tėvų apklausų duomenis.</w:t>
            </w:r>
            <w:r w:rsidR="005A49C2" w:rsidRPr="00781337">
              <w:rPr>
                <w:sz w:val="22"/>
                <w:szCs w:val="22"/>
              </w:rPr>
              <w:t xml:space="preserve"> 100 proc. </w:t>
            </w:r>
            <w:r w:rsidR="00F35168" w:rsidRPr="00781337">
              <w:rPr>
                <w:sz w:val="22"/>
                <w:szCs w:val="22"/>
              </w:rPr>
              <w:t>IU</w:t>
            </w:r>
            <w:r w:rsidR="005A49C2" w:rsidRPr="00781337">
              <w:rPr>
                <w:sz w:val="22"/>
                <w:szCs w:val="22"/>
              </w:rPr>
              <w:t xml:space="preserve"> vaikų padarė pažangą daugiau nei 15 pasiekimų sričių iš 18</w:t>
            </w:r>
            <w:r w:rsidR="003337D0" w:rsidRPr="00781337">
              <w:rPr>
                <w:sz w:val="22"/>
                <w:szCs w:val="22"/>
              </w:rPr>
              <w:t>.</w:t>
            </w:r>
            <w:r w:rsidR="005A49C2" w:rsidRPr="00781337">
              <w:rPr>
                <w:sz w:val="22"/>
                <w:szCs w:val="22"/>
              </w:rPr>
              <w:t xml:space="preserve"> </w:t>
            </w:r>
            <w:r w:rsidR="00C070C3" w:rsidRPr="00781337">
              <w:rPr>
                <w:sz w:val="22"/>
                <w:szCs w:val="22"/>
              </w:rPr>
              <w:t>99</w:t>
            </w:r>
            <w:r w:rsidR="005A49C2" w:rsidRPr="00781337">
              <w:rPr>
                <w:sz w:val="22"/>
                <w:szCs w:val="22"/>
              </w:rPr>
              <w:t xml:space="preserve"> proc. </w:t>
            </w:r>
            <w:r w:rsidR="00F35168" w:rsidRPr="00781337">
              <w:rPr>
                <w:sz w:val="22"/>
                <w:szCs w:val="22"/>
              </w:rPr>
              <w:t>PU</w:t>
            </w:r>
            <w:r w:rsidR="005A49C2" w:rsidRPr="00781337">
              <w:rPr>
                <w:sz w:val="22"/>
                <w:szCs w:val="22"/>
              </w:rPr>
              <w:t xml:space="preserve"> vaikų padarė </w:t>
            </w:r>
            <w:r w:rsidR="00C070C3" w:rsidRPr="00781337">
              <w:rPr>
                <w:sz w:val="22"/>
                <w:szCs w:val="22"/>
              </w:rPr>
              <w:t>pažangą</w:t>
            </w:r>
            <w:r w:rsidR="00C070C3" w:rsidRPr="00313FBF">
              <w:rPr>
                <w:sz w:val="22"/>
                <w:szCs w:val="22"/>
              </w:rPr>
              <w:t xml:space="preserve"> daugiau nei 4</w:t>
            </w:r>
            <w:r w:rsidR="00C070C3" w:rsidRPr="00313FBF">
              <w:rPr>
                <w:sz w:val="22"/>
                <w:szCs w:val="22"/>
                <w:lang w:eastAsia="lt-LT"/>
              </w:rPr>
              <w:t xml:space="preserve"> ugdymosi srityse iš 6. Informacija apie vaikus pasiekiama tėvams elektroniniame dienyne, kuriuo </w:t>
            </w:r>
            <w:r w:rsidR="00156878" w:rsidRPr="00313FBF">
              <w:rPr>
                <w:sz w:val="22"/>
                <w:szCs w:val="22"/>
              </w:rPr>
              <w:t xml:space="preserve">naudojasi 98 % tėvų (globėjų, rūpintojų) (toliau – tėvai). </w:t>
            </w:r>
          </w:p>
          <w:p w14:paraId="0DB181FC" w14:textId="38D94D6D" w:rsidR="00FA71E3" w:rsidRPr="00313FBF" w:rsidRDefault="00B63796" w:rsidP="00FA71E3">
            <w:pPr>
              <w:tabs>
                <w:tab w:val="left" w:pos="851"/>
              </w:tabs>
              <w:jc w:val="both"/>
              <w:rPr>
                <w:sz w:val="22"/>
                <w:szCs w:val="22"/>
              </w:rPr>
            </w:pPr>
            <w:r w:rsidRPr="00313FBF">
              <w:rPr>
                <w:sz w:val="22"/>
                <w:szCs w:val="22"/>
              </w:rPr>
              <w:tab/>
            </w:r>
            <w:r w:rsidR="00FA71E3" w:rsidRPr="00313FBF">
              <w:rPr>
                <w:sz w:val="22"/>
                <w:szCs w:val="22"/>
              </w:rPr>
              <w:t>Įgyvendinant antrąjį uždavinį – skatinti pedagogų lyderystę, aktualizuojant ugdytinių kūrybinę patirtį, fizinį aktyvumą – Įstaigos IU ir PU pedagogai inicijavo, organizavo ir vykdė ilgalaikius kūrybinius projektus, dalyvavo kolegialiose veiklose su socialiniais partneriais, respublikiniuose projektuose, kurių metu buvo plėtojamos vaikų kūrybinės kompetencijos. Pasaulinei vandens dienai pažymėti vaikai sukūrė akvariumus, kurie buvo demonstruojami visai bendruomenei</w:t>
            </w:r>
            <w:r w:rsidR="00B33B4B" w:rsidRPr="00313FBF">
              <w:rPr>
                <w:sz w:val="22"/>
                <w:szCs w:val="22"/>
              </w:rPr>
              <w:t>. P</w:t>
            </w:r>
            <w:r w:rsidR="00FA71E3" w:rsidRPr="00313FBF">
              <w:rPr>
                <w:sz w:val="22"/>
                <w:szCs w:val="22"/>
              </w:rPr>
              <w:t xml:space="preserve">astebėjus išskirtinius priešmokyklinės grupės ugdytinio gabumus </w:t>
            </w:r>
            <w:r w:rsidR="00B33B4B" w:rsidRPr="00313FBF">
              <w:rPr>
                <w:sz w:val="22"/>
                <w:szCs w:val="22"/>
              </w:rPr>
              <w:t xml:space="preserve">piešimui, jis paskatintas kurti, mokslo metų pabaigoje </w:t>
            </w:r>
            <w:r w:rsidR="00FA71E3" w:rsidRPr="00313FBF">
              <w:rPr>
                <w:sz w:val="22"/>
                <w:szCs w:val="22"/>
              </w:rPr>
              <w:t>organizuota personalinė vaiko kūrybos paroda. Vaikų kūrybinių ieškojimų rezultatai demonstruoti mokytojų inicijuotoje Respublikinėje ikimokyklinio ir priešmokyklinio amžiaus vaikų ir pedagogų kūrybinių darbų parodoje „Rudens gėrybių receptai“, parodoje „Riedėkit, margučiai“ Klaipėdos miesto savivaldybės I. Kanto viešojoje bibliotekoje, parodose „Žiemos paveikslai“, „Mano Lietuva“, „Sužydėk, pavasari“, „Žiemos pasaka“, Respublikinėje parodoje „Mano gražiausia kalėdinė puokštė“, kūrybinių darbų parodoje „Miško ir jūros simfonijos“, vaikų žodinių improvizacijų parodoje, skirtoje K. Čiurlionio 150-ųjų gimimo metinių minėjimui. NVŠ mokytoja inicijavo tradicinio Klaipėdos miesto ikimokyklinių įst</w:t>
            </w:r>
            <w:r w:rsidR="00B33B4B" w:rsidRPr="00313FBF">
              <w:rPr>
                <w:sz w:val="22"/>
                <w:szCs w:val="22"/>
              </w:rPr>
              <w:t xml:space="preserve">aigų vaikų saviraiškos festivalį </w:t>
            </w:r>
            <w:r w:rsidR="00FA71E3" w:rsidRPr="00313FBF">
              <w:rPr>
                <w:sz w:val="22"/>
                <w:szCs w:val="22"/>
              </w:rPr>
              <w:t>„Vaidinimų kraitelė“, kuriam</w:t>
            </w:r>
            <w:r w:rsidR="00B33B4B" w:rsidRPr="00313FBF">
              <w:rPr>
                <w:sz w:val="22"/>
                <w:szCs w:val="22"/>
              </w:rPr>
              <w:t>e</w:t>
            </w:r>
            <w:r w:rsidR="00FA71E3" w:rsidRPr="00313FBF">
              <w:rPr>
                <w:sz w:val="22"/>
                <w:szCs w:val="22"/>
              </w:rPr>
              <w:t xml:space="preserve"> visų grupių vaikai sukūrė pasirodymus dalyvaudami šešėlių teatro projekte „Mes žaidžiame teatrą“. Įstaigos bendruomenei parodytas šešėlių teatro kalėdinis spektaklis „Varnos pasaka“. Iš viso buvo pastatyta ir parodyta 12 šešėlių teatro spektaklių. </w:t>
            </w:r>
          </w:p>
          <w:p w14:paraId="6DD4681A" w14:textId="41218418" w:rsidR="00FA71E3" w:rsidRPr="00313FBF" w:rsidRDefault="00FA71E3" w:rsidP="00FA71E3">
            <w:pPr>
              <w:tabs>
                <w:tab w:val="left" w:pos="851"/>
              </w:tabs>
              <w:jc w:val="both"/>
              <w:rPr>
                <w:sz w:val="22"/>
                <w:szCs w:val="22"/>
              </w:rPr>
            </w:pPr>
            <w:r w:rsidRPr="00313FBF">
              <w:rPr>
                <w:sz w:val="22"/>
                <w:szCs w:val="22"/>
              </w:rPr>
              <w:tab/>
            </w:r>
            <w:r w:rsidRPr="00781337">
              <w:rPr>
                <w:sz w:val="22"/>
                <w:szCs w:val="22"/>
              </w:rPr>
              <w:t xml:space="preserve">Įsitraukusi į </w:t>
            </w:r>
            <w:r w:rsidR="003337D0" w:rsidRPr="00781337">
              <w:rPr>
                <w:sz w:val="22"/>
                <w:szCs w:val="22"/>
              </w:rPr>
              <w:t>Nacionalinis sveikatą stiprinančių mokyklų tinklą</w:t>
            </w:r>
            <w:r w:rsidRPr="00781337">
              <w:rPr>
                <w:sz w:val="22"/>
                <w:szCs w:val="22"/>
              </w:rPr>
              <w:t>, Įstaiga</w:t>
            </w:r>
            <w:r w:rsidRPr="00313FBF">
              <w:rPr>
                <w:sz w:val="22"/>
                <w:szCs w:val="22"/>
              </w:rPr>
              <w:t xml:space="preserve"> vykdė 2021–2025 metų sveikatos prevencijos ir stiprinimo programą „Augu sveikas su Nykštuku“ ir organizavo 10 renginių. Vaikai aktyviai dalyva</w:t>
            </w:r>
            <w:r w:rsidR="00B33B4B" w:rsidRPr="00313FBF">
              <w:rPr>
                <w:sz w:val="22"/>
                <w:szCs w:val="22"/>
              </w:rPr>
              <w:t>vo</w:t>
            </w:r>
            <w:r w:rsidRPr="00313FBF">
              <w:rPr>
                <w:sz w:val="22"/>
                <w:szCs w:val="22"/>
              </w:rPr>
              <w:t xml:space="preserve"> Lietuvos futbolo federacijos projekte „Futboliukas“, </w:t>
            </w:r>
            <w:r w:rsidR="0009436C" w:rsidRPr="00313FBF">
              <w:rPr>
                <w:sz w:val="22"/>
                <w:szCs w:val="22"/>
              </w:rPr>
              <w:t xml:space="preserve">sveikatos ir sporto šventėje prie jūros ,,Su vaikyste ant bangos“, dalyvavo olimpiadoje ,,Ką reikia daryti, kad būtum sveikas?“, </w:t>
            </w:r>
            <w:r w:rsidR="002716F0" w:rsidRPr="00313FBF">
              <w:rPr>
                <w:sz w:val="22"/>
                <w:szCs w:val="22"/>
              </w:rPr>
              <w:t>ugdomojoje fizinio aktyvumo veikloje po atviru dangumi – „Outdoor Day“</w:t>
            </w:r>
            <w:r w:rsidR="0009436C" w:rsidRPr="00313FBF">
              <w:rPr>
                <w:sz w:val="22"/>
                <w:szCs w:val="22"/>
              </w:rPr>
              <w:t>, Jogos dienoje, mokytojų</w:t>
            </w:r>
            <w:r w:rsidRPr="00313FBF">
              <w:rPr>
                <w:sz w:val="22"/>
                <w:szCs w:val="22"/>
              </w:rPr>
              <w:t xml:space="preserve"> inicij</w:t>
            </w:r>
            <w:r w:rsidR="0009436C" w:rsidRPr="00313FBF">
              <w:rPr>
                <w:sz w:val="22"/>
                <w:szCs w:val="22"/>
              </w:rPr>
              <w:t>uotuose</w:t>
            </w:r>
            <w:r w:rsidRPr="00313FBF">
              <w:rPr>
                <w:sz w:val="22"/>
                <w:szCs w:val="22"/>
              </w:rPr>
              <w:t xml:space="preserve"> 3 fizinio ugdymo projektu</w:t>
            </w:r>
            <w:r w:rsidR="0009436C" w:rsidRPr="00313FBF">
              <w:rPr>
                <w:sz w:val="22"/>
                <w:szCs w:val="22"/>
              </w:rPr>
              <w:t>ose</w:t>
            </w:r>
            <w:r w:rsidRPr="00313FBF">
              <w:rPr>
                <w:sz w:val="22"/>
                <w:szCs w:val="22"/>
              </w:rPr>
              <w:t xml:space="preserve"> su socialiniais partneriais. Įstaigoje organizuoti </w:t>
            </w:r>
            <w:r w:rsidR="00B33B4B" w:rsidRPr="00313FBF">
              <w:rPr>
                <w:sz w:val="22"/>
                <w:szCs w:val="22"/>
              </w:rPr>
              <w:t xml:space="preserve">du </w:t>
            </w:r>
            <w:r w:rsidRPr="00313FBF">
              <w:rPr>
                <w:sz w:val="22"/>
                <w:szCs w:val="22"/>
              </w:rPr>
              <w:t xml:space="preserve">sporto renginiai </w:t>
            </w:r>
            <w:r w:rsidR="00B33B4B" w:rsidRPr="00313FBF">
              <w:rPr>
                <w:sz w:val="22"/>
                <w:szCs w:val="22"/>
              </w:rPr>
              <w:t>visai bendruomen</w:t>
            </w:r>
            <w:r w:rsidR="0009436C" w:rsidRPr="00313FBF">
              <w:rPr>
                <w:sz w:val="22"/>
                <w:szCs w:val="22"/>
              </w:rPr>
              <w:t>e</w:t>
            </w:r>
            <w:r w:rsidR="00B33B4B" w:rsidRPr="00313FBF">
              <w:rPr>
                <w:sz w:val="22"/>
                <w:szCs w:val="22"/>
              </w:rPr>
              <w:t>i</w:t>
            </w:r>
            <w:r w:rsidRPr="00313FBF">
              <w:rPr>
                <w:sz w:val="22"/>
                <w:szCs w:val="22"/>
              </w:rPr>
              <w:t>: gegužės mėnesį „Šeimų sporto šventė“, rugsėjo mėnesį ketvirtasis ugdytinių, tėvų ir darbuotojų žygis pėsčiomis Draugystės parke „Nykštuko žingsniamaršis 2025“.</w:t>
            </w:r>
          </w:p>
          <w:p w14:paraId="08AA9932" w14:textId="77777777" w:rsidR="00FA71E3" w:rsidRPr="00313FBF" w:rsidRDefault="00FA71E3" w:rsidP="00FA71E3">
            <w:pPr>
              <w:tabs>
                <w:tab w:val="left" w:pos="851"/>
              </w:tabs>
              <w:jc w:val="both"/>
              <w:rPr>
                <w:sz w:val="22"/>
                <w:szCs w:val="22"/>
              </w:rPr>
            </w:pPr>
            <w:r w:rsidRPr="00313FBF">
              <w:rPr>
                <w:sz w:val="22"/>
                <w:szCs w:val="22"/>
              </w:rPr>
              <w:tab/>
              <w:t xml:space="preserve">Ugdytiniai turtino patirtis išvykose į muziejus, bibliotekas, laisvalaikio centrus, sporto aikštynus, teatrą, gamtą. Iš viso 2025 m. organizuotos 74 išvykos (2024 m. – 67). </w:t>
            </w:r>
          </w:p>
          <w:p w14:paraId="13C3CE6F" w14:textId="32025D94" w:rsidR="00FA71E3" w:rsidRPr="00313FBF" w:rsidRDefault="00FA71E3" w:rsidP="00FA71E3">
            <w:pPr>
              <w:tabs>
                <w:tab w:val="left" w:pos="851"/>
              </w:tabs>
              <w:jc w:val="both"/>
              <w:rPr>
                <w:sz w:val="22"/>
                <w:szCs w:val="22"/>
              </w:rPr>
            </w:pPr>
            <w:r w:rsidRPr="00313FBF">
              <w:rPr>
                <w:sz w:val="22"/>
                <w:szCs w:val="22"/>
              </w:rPr>
              <w:tab/>
              <w:t>Siekiant Strateginio plano antrojo tikslo – saugios, šiuolaikiškos ugdymo(si) aplinkos kūrimo – prioritetinis dėmesys buvo skiriamas Įstaigos patalpų būklės atnaujinimui, naujų ugdymosi erdvių lauke įrengimui. Tikslui pasiekti buvo vykdomas trečiasis Veiklos plano</w:t>
            </w:r>
            <w:r w:rsidR="00B63796" w:rsidRPr="00313FBF">
              <w:rPr>
                <w:sz w:val="22"/>
                <w:szCs w:val="22"/>
              </w:rPr>
              <w:t xml:space="preserve"> uždavinys.</w:t>
            </w:r>
          </w:p>
          <w:p w14:paraId="59D345CC" w14:textId="05B5FD58" w:rsidR="00FA71E3" w:rsidRPr="00313FBF" w:rsidRDefault="00B63796" w:rsidP="00FA71E3">
            <w:pPr>
              <w:tabs>
                <w:tab w:val="left" w:pos="851"/>
              </w:tabs>
              <w:jc w:val="both"/>
              <w:rPr>
                <w:sz w:val="22"/>
                <w:szCs w:val="22"/>
              </w:rPr>
            </w:pPr>
            <w:r w:rsidRPr="00313FBF">
              <w:rPr>
                <w:sz w:val="22"/>
                <w:szCs w:val="22"/>
              </w:rPr>
              <w:tab/>
              <w:t>Į</w:t>
            </w:r>
            <w:r w:rsidR="00FA71E3" w:rsidRPr="00313FBF">
              <w:rPr>
                <w:sz w:val="22"/>
                <w:szCs w:val="22"/>
              </w:rPr>
              <w:t xml:space="preserve">gyvendinant trečiąjį uždavinį – kurti ugdymo(si) aplinką, stiprinant Įstaigos savitumą, bendradarbiavimą – buvo kuriamos ir atnaujinamos lauko ir vidaus erdvės, įsigyta priemonių įtraukiojo ugdymo įtvirtinimui, socialinių emocinių kompetencijų ugdymui, kuriami ir stiprinami ryšiai su socialiniais partneriais. </w:t>
            </w:r>
            <w:r w:rsidR="002716F0" w:rsidRPr="00313FBF">
              <w:rPr>
                <w:sz w:val="22"/>
                <w:szCs w:val="22"/>
              </w:rPr>
              <w:t>4-iose grupėse pastatyti n</w:t>
            </w:r>
            <w:r w:rsidR="00FA71E3" w:rsidRPr="00313FBF">
              <w:rPr>
                <w:sz w:val="22"/>
                <w:szCs w:val="22"/>
              </w:rPr>
              <w:t>usiraminimo nameliai, įsigytos 36 STEAM ugdymo</w:t>
            </w:r>
            <w:r w:rsidR="002716F0" w:rsidRPr="00313FBF">
              <w:rPr>
                <w:sz w:val="22"/>
                <w:szCs w:val="22"/>
              </w:rPr>
              <w:t xml:space="preserve"> pri</w:t>
            </w:r>
            <w:r w:rsidR="00B416AC">
              <w:rPr>
                <w:sz w:val="22"/>
                <w:szCs w:val="22"/>
              </w:rPr>
              <w:t>e</w:t>
            </w:r>
            <w:r w:rsidR="002716F0" w:rsidRPr="00313FBF">
              <w:rPr>
                <w:sz w:val="22"/>
                <w:szCs w:val="22"/>
              </w:rPr>
              <w:t>monės</w:t>
            </w:r>
            <w:r w:rsidR="00FA71E3" w:rsidRPr="00313FBF">
              <w:rPr>
                <w:sz w:val="22"/>
                <w:szCs w:val="22"/>
              </w:rPr>
              <w:t xml:space="preserve">, Kimochi programos (1,5 tūkst. Eurų savivaldybės biudžeto (toliau – SB) lėšų) priemonės, </w:t>
            </w:r>
            <w:r w:rsidR="00B33B4B" w:rsidRPr="00313FBF">
              <w:rPr>
                <w:sz w:val="22"/>
                <w:szCs w:val="22"/>
              </w:rPr>
              <w:t>perdažyta</w:t>
            </w:r>
            <w:r w:rsidR="00FA71E3" w:rsidRPr="00313FBF">
              <w:rPr>
                <w:sz w:val="22"/>
                <w:szCs w:val="22"/>
              </w:rPr>
              <w:t xml:space="preserve"> </w:t>
            </w:r>
            <w:r w:rsidR="00B33B4B" w:rsidRPr="00313FBF">
              <w:rPr>
                <w:sz w:val="22"/>
                <w:szCs w:val="22"/>
              </w:rPr>
              <w:t>11 patyriminio ugdymo lysvių</w:t>
            </w:r>
            <w:r w:rsidR="00FA71E3" w:rsidRPr="00313FBF">
              <w:rPr>
                <w:sz w:val="22"/>
                <w:szCs w:val="22"/>
              </w:rPr>
              <w:t xml:space="preserve">, </w:t>
            </w:r>
            <w:r w:rsidR="00B33B4B" w:rsidRPr="00313FBF">
              <w:rPr>
                <w:sz w:val="22"/>
                <w:szCs w:val="22"/>
              </w:rPr>
              <w:t xml:space="preserve">muzikos ir sporto salėse </w:t>
            </w:r>
            <w:r w:rsidR="00FA71E3" w:rsidRPr="00313FBF">
              <w:rPr>
                <w:sz w:val="22"/>
                <w:szCs w:val="22"/>
              </w:rPr>
              <w:t>atn</w:t>
            </w:r>
            <w:r w:rsidR="00B33B4B" w:rsidRPr="00313FBF">
              <w:rPr>
                <w:sz w:val="22"/>
                <w:szCs w:val="22"/>
              </w:rPr>
              <w:t>aujinta elektros instaliacija, perdažytos sienos ir lubos</w:t>
            </w:r>
            <w:r w:rsidR="00FA71E3" w:rsidRPr="00313FBF">
              <w:rPr>
                <w:sz w:val="22"/>
                <w:szCs w:val="22"/>
              </w:rPr>
              <w:t xml:space="preserve">, </w:t>
            </w:r>
            <w:r w:rsidR="00B33B4B" w:rsidRPr="00313FBF">
              <w:rPr>
                <w:sz w:val="22"/>
                <w:szCs w:val="22"/>
              </w:rPr>
              <w:t xml:space="preserve">suremontuota </w:t>
            </w:r>
            <w:r w:rsidR="00FA71E3" w:rsidRPr="00313FBF">
              <w:rPr>
                <w:sz w:val="22"/>
                <w:szCs w:val="22"/>
              </w:rPr>
              <w:t>valgykla, fojė ir 2 kabinetai (10 tūkst. Eurų SB lėšų), pakeisti betoniniai lauko laiptai ir įėjimo aikštelės (9 tūkst. Eurų SB lėšų) įrengti 8 kondicionieriai (9 tūkst. Eurų SB lėšų), lauke įrengta guminės liejamos dangos sporto aikštelė (18 tūkst. Eurų SB lėšų), įrengta lauko muzikos instrumentų erdvė (</w:t>
            </w:r>
            <w:r w:rsidR="00B33B4B" w:rsidRPr="00313FBF">
              <w:rPr>
                <w:sz w:val="22"/>
                <w:szCs w:val="22"/>
              </w:rPr>
              <w:t xml:space="preserve">2,9 tūkst. Eurų </w:t>
            </w:r>
            <w:r w:rsidR="00FA71E3" w:rsidRPr="00313FBF">
              <w:rPr>
                <w:sz w:val="22"/>
                <w:szCs w:val="22"/>
              </w:rPr>
              <w:t xml:space="preserve">SB ir paramos lėšų). Virtuvės įrengimų atnaujinimui panaudota 2,9 tūkst. Eurų SB lėšų. </w:t>
            </w:r>
          </w:p>
          <w:p w14:paraId="7BB00BA4" w14:textId="77777777" w:rsidR="002716F0" w:rsidRPr="00313FBF" w:rsidRDefault="00B63796" w:rsidP="00FA71E3">
            <w:pPr>
              <w:tabs>
                <w:tab w:val="left" w:pos="851"/>
              </w:tabs>
              <w:jc w:val="both"/>
              <w:rPr>
                <w:sz w:val="22"/>
                <w:szCs w:val="22"/>
              </w:rPr>
            </w:pPr>
            <w:r w:rsidRPr="00313FBF">
              <w:rPr>
                <w:sz w:val="22"/>
                <w:szCs w:val="22"/>
              </w:rPr>
              <w:tab/>
            </w:r>
            <w:r w:rsidR="00FA71E3" w:rsidRPr="00313FBF">
              <w:rPr>
                <w:sz w:val="22"/>
                <w:szCs w:val="22"/>
              </w:rPr>
              <w:t xml:space="preserve">Kuriant savitas ugdymo aplinkas „Kiškučių“ grupėje </w:t>
            </w:r>
            <w:r w:rsidR="002716F0" w:rsidRPr="00313FBF">
              <w:rPr>
                <w:sz w:val="22"/>
                <w:szCs w:val="22"/>
              </w:rPr>
              <w:t>organizuota edukacinė veikla –</w:t>
            </w:r>
            <w:r w:rsidR="00FA71E3" w:rsidRPr="00313FBF">
              <w:rPr>
                <w:sz w:val="22"/>
                <w:szCs w:val="22"/>
              </w:rPr>
              <w:t xml:space="preserve"> paukščių išsiritimo iš kiaušinio stebėjimas, inicijuotos vaikų veiklos lauke: sodininkystė-daržininkystė, stebėjimas, rūšiavimas, eksperimentai, fizinio aktyvumo ir muzikavimo</w:t>
            </w:r>
            <w:r w:rsidR="002716F0" w:rsidRPr="00313FBF">
              <w:rPr>
                <w:sz w:val="22"/>
                <w:szCs w:val="22"/>
              </w:rPr>
              <w:t xml:space="preserve"> lauko muzikos instrumentais </w:t>
            </w:r>
            <w:r w:rsidR="00FA71E3" w:rsidRPr="00313FBF">
              <w:rPr>
                <w:sz w:val="22"/>
                <w:szCs w:val="22"/>
              </w:rPr>
              <w:t xml:space="preserve">veiklos. Puoselėta Įstaigos lauko erdvių kūrimo kultūra: sukurtas laikinas Velykų, Advento vainiko kiemeliai. Stiprinant ryšius su tėvais organizuotos popietės ir paskaitos tėvams „Nematoma tėvystė“, popietė „Rudenėlio takeliu“, organizuoti 24 tėvų susirinkimai, 2 tėvų tarybos posėdžiai. </w:t>
            </w:r>
          </w:p>
          <w:p w14:paraId="750DDC16" w14:textId="2DEC2B6F" w:rsidR="00B63796" w:rsidRPr="00313FBF" w:rsidRDefault="002716F0" w:rsidP="00FA71E3">
            <w:pPr>
              <w:tabs>
                <w:tab w:val="left" w:pos="851"/>
              </w:tabs>
              <w:jc w:val="both"/>
              <w:rPr>
                <w:sz w:val="22"/>
                <w:szCs w:val="22"/>
              </w:rPr>
            </w:pPr>
            <w:r w:rsidRPr="00313FBF">
              <w:rPr>
                <w:sz w:val="22"/>
                <w:szCs w:val="22"/>
              </w:rPr>
              <w:tab/>
            </w:r>
            <w:r w:rsidR="00FA71E3" w:rsidRPr="00313FBF">
              <w:rPr>
                <w:sz w:val="22"/>
                <w:szCs w:val="22"/>
              </w:rPr>
              <w:t>Informacija</w:t>
            </w:r>
            <w:r w:rsidRPr="00313FBF">
              <w:rPr>
                <w:sz w:val="22"/>
                <w:szCs w:val="22"/>
              </w:rPr>
              <w:t xml:space="preserve"> apie Į</w:t>
            </w:r>
            <w:r w:rsidR="00FA71E3" w:rsidRPr="00313FBF">
              <w:rPr>
                <w:sz w:val="22"/>
                <w:szCs w:val="22"/>
              </w:rPr>
              <w:t xml:space="preserve">staigos veiklas, </w:t>
            </w:r>
            <w:r w:rsidRPr="00313FBF">
              <w:rPr>
                <w:sz w:val="22"/>
                <w:szCs w:val="22"/>
              </w:rPr>
              <w:t xml:space="preserve">ugdymo organizavimą, planavimą, įtraukųjį ugdymą, vykdomus projektus </w:t>
            </w:r>
            <w:r w:rsidR="00FA71E3" w:rsidRPr="00313FBF">
              <w:rPr>
                <w:sz w:val="22"/>
                <w:szCs w:val="22"/>
              </w:rPr>
              <w:t>buvo teikiama elektroniniame dienyne</w:t>
            </w:r>
            <w:r w:rsidRPr="00313FBF">
              <w:rPr>
                <w:sz w:val="22"/>
                <w:szCs w:val="22"/>
              </w:rPr>
              <w:t>,</w:t>
            </w:r>
            <w:r w:rsidR="00FA71E3" w:rsidRPr="00313FBF">
              <w:rPr>
                <w:sz w:val="22"/>
                <w:szCs w:val="22"/>
              </w:rPr>
              <w:t xml:space="preserve"> </w:t>
            </w:r>
            <w:r w:rsidRPr="00313FBF">
              <w:rPr>
                <w:sz w:val="22"/>
                <w:szCs w:val="22"/>
              </w:rPr>
              <w:t xml:space="preserve">viešinama </w:t>
            </w:r>
            <w:r w:rsidR="00FA71E3" w:rsidRPr="00313FBF">
              <w:rPr>
                <w:sz w:val="22"/>
                <w:szCs w:val="22"/>
              </w:rPr>
              <w:t xml:space="preserve">interneto svetainėje </w:t>
            </w:r>
            <w:r w:rsidRPr="00313FBF">
              <w:rPr>
                <w:sz w:val="22"/>
                <w:szCs w:val="22"/>
              </w:rPr>
              <w:t xml:space="preserve">ir socialiniame tinkle Facebook. </w:t>
            </w:r>
          </w:p>
          <w:p w14:paraId="19299C45" w14:textId="316CE447" w:rsidR="00FA71E3" w:rsidRPr="00313FBF" w:rsidRDefault="00B63796" w:rsidP="00FA71E3">
            <w:pPr>
              <w:tabs>
                <w:tab w:val="left" w:pos="851"/>
              </w:tabs>
              <w:jc w:val="both"/>
              <w:rPr>
                <w:sz w:val="22"/>
                <w:szCs w:val="22"/>
              </w:rPr>
            </w:pPr>
            <w:r w:rsidRPr="00313FBF">
              <w:rPr>
                <w:sz w:val="22"/>
                <w:szCs w:val="22"/>
              </w:rPr>
              <w:tab/>
            </w:r>
            <w:r w:rsidR="00FA71E3" w:rsidRPr="00313FBF">
              <w:rPr>
                <w:sz w:val="22"/>
                <w:szCs w:val="22"/>
              </w:rPr>
              <w:t>Įstaig</w:t>
            </w:r>
            <w:r w:rsidR="002716F0" w:rsidRPr="00313FBF">
              <w:rPr>
                <w:sz w:val="22"/>
                <w:szCs w:val="22"/>
              </w:rPr>
              <w:t>os mokytoj</w:t>
            </w:r>
            <w:r w:rsidR="00FA71E3" w:rsidRPr="00313FBF">
              <w:rPr>
                <w:sz w:val="22"/>
                <w:szCs w:val="22"/>
              </w:rPr>
              <w:t>a</w:t>
            </w:r>
            <w:r w:rsidR="002716F0" w:rsidRPr="00313FBF">
              <w:rPr>
                <w:sz w:val="22"/>
                <w:szCs w:val="22"/>
              </w:rPr>
              <w:t>i</w:t>
            </w:r>
            <w:r w:rsidR="00FA71E3" w:rsidRPr="00313FBF">
              <w:rPr>
                <w:sz w:val="22"/>
                <w:szCs w:val="22"/>
              </w:rPr>
              <w:t xml:space="preserve"> dalyvavo respublikos ikimokyklinio ugdymo įstaigų sambūrio „Po Nykštuko kepure“ konferencijoje, </w:t>
            </w:r>
            <w:r w:rsidR="002716F0" w:rsidRPr="00313FBF">
              <w:rPr>
                <w:sz w:val="22"/>
                <w:szCs w:val="22"/>
              </w:rPr>
              <w:t>4-iose</w:t>
            </w:r>
            <w:r w:rsidR="00FA71E3" w:rsidRPr="00313FBF">
              <w:rPr>
                <w:sz w:val="22"/>
                <w:szCs w:val="22"/>
              </w:rPr>
              <w:t xml:space="preserve"> miesto ir tarptautinėse metodinėse dienose – konferencijose su socialiniais partneriais, suruošė 86 kalėdines dovanėles Klaipėdos Marijos Taikos Karalienės parapijos CARITAS </w:t>
            </w:r>
            <w:r w:rsidR="00FA71E3" w:rsidRPr="00313FBF">
              <w:rPr>
                <w:sz w:val="22"/>
                <w:szCs w:val="22"/>
              </w:rPr>
              <w:lastRenderedPageBreak/>
              <w:t xml:space="preserve">globojamiems vaikams, organizuotoje Pyragų dienos mugėje surinko 760 eurų, kurie buvo skirti Labdaros ir paramos fondui „Timuko stiprybė augti“. Su organizacija „Senjorų pasaulis“ vaikams organizuotos kalėdinių eglutės žaisliukų dirbtuvėlės, pasakų skaitymo popietės. </w:t>
            </w:r>
          </w:p>
          <w:p w14:paraId="6C5CD1E3" w14:textId="7B0E715F" w:rsidR="00FA71E3" w:rsidRPr="00313FBF" w:rsidRDefault="00FA71E3" w:rsidP="00FA71E3">
            <w:pPr>
              <w:tabs>
                <w:tab w:val="left" w:pos="851"/>
              </w:tabs>
              <w:jc w:val="both"/>
              <w:rPr>
                <w:sz w:val="22"/>
                <w:szCs w:val="22"/>
              </w:rPr>
            </w:pPr>
            <w:r w:rsidRPr="00313FBF">
              <w:rPr>
                <w:sz w:val="22"/>
                <w:szCs w:val="22"/>
              </w:rPr>
              <w:tab/>
              <w:t>Siekiant įvertinti Įstaigos veiklos kokybę atliktas tyrimas, kurio rezultatai parodė, kad Įstaigos veiklos kokybė vertinama 3 lygiu (išskirtinė praktika). Veiklos kokybė buvo įsivertinta 5 srityse: Vaiko gerovė (2,69), Ugdymasis (2,60), Ugdymo(si) aplinkos (3,52), Ugdymo strategijos (2,81), Pasiekimų vertinimas ir ugdymo planavimas (2,64), Bendradarbiavimas su vaikų šeimomis (2,55), Besimokančios organizacijos kultūra (2,54). Veiklos kokybės vertinime dalyvavo 76 % mokytojų ir 14 % vaikų tėvų.</w:t>
            </w:r>
          </w:p>
          <w:p w14:paraId="3D7AA235" w14:textId="77777777" w:rsidR="000C5C1E" w:rsidRPr="00313FBF" w:rsidRDefault="000C5C1E" w:rsidP="006D31B3">
            <w:pPr>
              <w:tabs>
                <w:tab w:val="left" w:pos="851"/>
              </w:tabs>
              <w:jc w:val="both"/>
              <w:rPr>
                <w:sz w:val="22"/>
                <w:szCs w:val="22"/>
              </w:rPr>
            </w:pPr>
          </w:p>
          <w:p w14:paraId="1C86F8D8" w14:textId="12B82546" w:rsidR="00D01882" w:rsidRPr="00313FBF" w:rsidRDefault="00D01882" w:rsidP="006D31B3">
            <w:pPr>
              <w:tabs>
                <w:tab w:val="left" w:pos="851"/>
              </w:tabs>
              <w:jc w:val="both"/>
              <w:rPr>
                <w:sz w:val="22"/>
                <w:szCs w:val="22"/>
              </w:rPr>
            </w:pPr>
            <w:r w:rsidRPr="00313FBF">
              <w:rPr>
                <w:sz w:val="22"/>
                <w:szCs w:val="22"/>
              </w:rPr>
              <w:tab/>
            </w:r>
            <w:r w:rsidR="00E23753" w:rsidRPr="00313FBF">
              <w:rPr>
                <w:sz w:val="22"/>
                <w:szCs w:val="22"/>
              </w:rPr>
              <w:t xml:space="preserve">2025 m. Įstaigos finansinė situacija: </w:t>
            </w:r>
          </w:p>
          <w:tbl>
            <w:tblPr>
              <w:tblStyle w:val="Lentelstinklelis"/>
              <w:tblW w:w="0" w:type="auto"/>
              <w:tblLook w:val="04A0" w:firstRow="1" w:lastRow="0" w:firstColumn="1" w:lastColumn="0" w:noHBand="0" w:noVBand="1"/>
            </w:tblPr>
            <w:tblGrid>
              <w:gridCol w:w="1856"/>
              <w:gridCol w:w="1454"/>
              <w:gridCol w:w="1562"/>
              <w:gridCol w:w="1276"/>
              <w:gridCol w:w="3146"/>
            </w:tblGrid>
            <w:tr w:rsidR="007767CB" w:rsidRPr="00313FBF" w14:paraId="15A97A5B" w14:textId="77777777" w:rsidTr="007767CB">
              <w:tc>
                <w:tcPr>
                  <w:tcW w:w="1856" w:type="dxa"/>
                  <w:vMerge w:val="restart"/>
                </w:tcPr>
                <w:p w14:paraId="44705E56" w14:textId="41B3B19E" w:rsidR="007767CB" w:rsidRPr="00313FBF" w:rsidRDefault="007767CB" w:rsidP="007767CB">
                  <w:pPr>
                    <w:tabs>
                      <w:tab w:val="left" w:pos="851"/>
                    </w:tabs>
                    <w:jc w:val="center"/>
                    <w:rPr>
                      <w:sz w:val="22"/>
                      <w:szCs w:val="22"/>
                    </w:rPr>
                  </w:pPr>
                  <w:r w:rsidRPr="00313FBF">
                    <w:rPr>
                      <w:sz w:val="22"/>
                      <w:szCs w:val="22"/>
                    </w:rPr>
                    <w:t>Finansavimo šaltinis</w:t>
                  </w:r>
                </w:p>
              </w:tc>
              <w:tc>
                <w:tcPr>
                  <w:tcW w:w="4292" w:type="dxa"/>
                  <w:gridSpan w:val="3"/>
                </w:tcPr>
                <w:p w14:paraId="3D2C7C53" w14:textId="1D7A8FA4" w:rsidR="007767CB" w:rsidRPr="00313FBF" w:rsidRDefault="007767CB" w:rsidP="007767CB">
                  <w:pPr>
                    <w:tabs>
                      <w:tab w:val="left" w:pos="851"/>
                    </w:tabs>
                    <w:jc w:val="center"/>
                    <w:rPr>
                      <w:sz w:val="22"/>
                      <w:szCs w:val="22"/>
                    </w:rPr>
                  </w:pPr>
                  <w:r w:rsidRPr="00313FBF">
                    <w:rPr>
                      <w:sz w:val="22"/>
                      <w:szCs w:val="22"/>
                    </w:rPr>
                    <w:t>Lėšos (tūkst. eurų)</w:t>
                  </w:r>
                </w:p>
              </w:tc>
              <w:tc>
                <w:tcPr>
                  <w:tcW w:w="3146" w:type="dxa"/>
                  <w:vMerge w:val="restart"/>
                </w:tcPr>
                <w:p w14:paraId="6EAA486D" w14:textId="7D65398D" w:rsidR="007767CB" w:rsidRPr="00313FBF" w:rsidRDefault="007767CB" w:rsidP="006D31B3">
                  <w:pPr>
                    <w:tabs>
                      <w:tab w:val="left" w:pos="851"/>
                    </w:tabs>
                    <w:jc w:val="both"/>
                    <w:rPr>
                      <w:sz w:val="22"/>
                      <w:szCs w:val="22"/>
                    </w:rPr>
                  </w:pPr>
                  <w:r w:rsidRPr="00313FBF">
                    <w:rPr>
                      <w:sz w:val="22"/>
                      <w:szCs w:val="22"/>
                    </w:rPr>
                    <w:t>Pastabos</w:t>
                  </w:r>
                </w:p>
              </w:tc>
            </w:tr>
            <w:tr w:rsidR="007767CB" w:rsidRPr="00313FBF" w14:paraId="61C39D11" w14:textId="77777777" w:rsidTr="007767CB">
              <w:tc>
                <w:tcPr>
                  <w:tcW w:w="1856" w:type="dxa"/>
                  <w:vMerge/>
                </w:tcPr>
                <w:p w14:paraId="21C7B92C" w14:textId="77777777" w:rsidR="007767CB" w:rsidRPr="00313FBF" w:rsidRDefault="007767CB" w:rsidP="007767CB">
                  <w:pPr>
                    <w:tabs>
                      <w:tab w:val="left" w:pos="851"/>
                    </w:tabs>
                    <w:jc w:val="center"/>
                    <w:rPr>
                      <w:sz w:val="22"/>
                      <w:szCs w:val="22"/>
                    </w:rPr>
                  </w:pPr>
                </w:p>
              </w:tc>
              <w:tc>
                <w:tcPr>
                  <w:tcW w:w="1454" w:type="dxa"/>
                </w:tcPr>
                <w:p w14:paraId="061784BC" w14:textId="71A072BC" w:rsidR="007767CB" w:rsidRPr="00313FBF" w:rsidRDefault="007767CB" w:rsidP="007767CB">
                  <w:pPr>
                    <w:tabs>
                      <w:tab w:val="left" w:pos="851"/>
                    </w:tabs>
                    <w:jc w:val="center"/>
                    <w:rPr>
                      <w:sz w:val="22"/>
                      <w:szCs w:val="22"/>
                    </w:rPr>
                  </w:pPr>
                  <w:r w:rsidRPr="00313FBF">
                    <w:rPr>
                      <w:sz w:val="22"/>
                      <w:szCs w:val="22"/>
                    </w:rPr>
                    <w:t>Planas (patikslintas)</w:t>
                  </w:r>
                </w:p>
              </w:tc>
              <w:tc>
                <w:tcPr>
                  <w:tcW w:w="1562" w:type="dxa"/>
                </w:tcPr>
                <w:p w14:paraId="4F4BD92B" w14:textId="49A4EB85" w:rsidR="007767CB" w:rsidRPr="00313FBF" w:rsidRDefault="007767CB" w:rsidP="007767CB">
                  <w:pPr>
                    <w:tabs>
                      <w:tab w:val="left" w:pos="851"/>
                    </w:tabs>
                    <w:jc w:val="center"/>
                    <w:rPr>
                      <w:sz w:val="22"/>
                      <w:szCs w:val="22"/>
                    </w:rPr>
                  </w:pPr>
                  <w:r w:rsidRPr="00313FBF">
                    <w:rPr>
                      <w:sz w:val="22"/>
                      <w:szCs w:val="22"/>
                    </w:rPr>
                    <w:t>Panaudota lėšų</w:t>
                  </w:r>
                </w:p>
              </w:tc>
              <w:tc>
                <w:tcPr>
                  <w:tcW w:w="1276" w:type="dxa"/>
                </w:tcPr>
                <w:p w14:paraId="2BD71B4B" w14:textId="627DC70B" w:rsidR="007767CB" w:rsidRPr="00313FBF" w:rsidRDefault="007767CB" w:rsidP="007767CB">
                  <w:pPr>
                    <w:tabs>
                      <w:tab w:val="left" w:pos="851"/>
                    </w:tabs>
                    <w:jc w:val="center"/>
                    <w:rPr>
                      <w:sz w:val="22"/>
                      <w:szCs w:val="22"/>
                    </w:rPr>
                  </w:pPr>
                  <w:r w:rsidRPr="00313FBF">
                    <w:rPr>
                      <w:sz w:val="22"/>
                      <w:szCs w:val="22"/>
                    </w:rPr>
                    <w:t>Įvykdymas (%)</w:t>
                  </w:r>
                </w:p>
              </w:tc>
              <w:tc>
                <w:tcPr>
                  <w:tcW w:w="3146" w:type="dxa"/>
                  <w:vMerge/>
                </w:tcPr>
                <w:p w14:paraId="763EC976" w14:textId="77777777" w:rsidR="007767CB" w:rsidRPr="00313FBF" w:rsidRDefault="007767CB" w:rsidP="006D31B3">
                  <w:pPr>
                    <w:tabs>
                      <w:tab w:val="left" w:pos="851"/>
                    </w:tabs>
                    <w:jc w:val="both"/>
                    <w:rPr>
                      <w:sz w:val="22"/>
                      <w:szCs w:val="22"/>
                    </w:rPr>
                  </w:pPr>
                </w:p>
              </w:tc>
            </w:tr>
            <w:tr w:rsidR="00D01882" w:rsidRPr="00313FBF" w14:paraId="05B5CEAA" w14:textId="77777777" w:rsidTr="007767CB">
              <w:tc>
                <w:tcPr>
                  <w:tcW w:w="1856" w:type="dxa"/>
                </w:tcPr>
                <w:p w14:paraId="286D6FEA" w14:textId="7D6B3C2A" w:rsidR="00D01882" w:rsidRPr="00313FBF" w:rsidRDefault="007767CB" w:rsidP="00313FBF">
                  <w:pPr>
                    <w:tabs>
                      <w:tab w:val="left" w:pos="851"/>
                    </w:tabs>
                    <w:rPr>
                      <w:sz w:val="22"/>
                      <w:szCs w:val="22"/>
                    </w:rPr>
                  </w:pPr>
                  <w:r w:rsidRPr="00313FBF">
                    <w:rPr>
                      <w:sz w:val="22"/>
                      <w:szCs w:val="22"/>
                    </w:rPr>
                    <w:t>Savivaldybės biudžetas (SB)</w:t>
                  </w:r>
                </w:p>
              </w:tc>
              <w:tc>
                <w:tcPr>
                  <w:tcW w:w="1454" w:type="dxa"/>
                </w:tcPr>
                <w:p w14:paraId="096B3C94" w14:textId="31465A68" w:rsidR="00D01882" w:rsidRPr="00313FBF" w:rsidRDefault="007767CB" w:rsidP="007767CB">
                  <w:pPr>
                    <w:tabs>
                      <w:tab w:val="left" w:pos="851"/>
                    </w:tabs>
                    <w:jc w:val="center"/>
                    <w:rPr>
                      <w:sz w:val="22"/>
                      <w:szCs w:val="22"/>
                    </w:rPr>
                  </w:pPr>
                  <w:r w:rsidRPr="00313FBF">
                    <w:rPr>
                      <w:sz w:val="22"/>
                      <w:szCs w:val="22"/>
                    </w:rPr>
                    <w:t>832300</w:t>
                  </w:r>
                </w:p>
              </w:tc>
              <w:tc>
                <w:tcPr>
                  <w:tcW w:w="1562" w:type="dxa"/>
                </w:tcPr>
                <w:p w14:paraId="71FFA1B3" w14:textId="689E5273" w:rsidR="00D01882" w:rsidRPr="00313FBF" w:rsidRDefault="007767CB" w:rsidP="007767CB">
                  <w:pPr>
                    <w:tabs>
                      <w:tab w:val="left" w:pos="851"/>
                    </w:tabs>
                    <w:jc w:val="center"/>
                    <w:rPr>
                      <w:sz w:val="22"/>
                      <w:szCs w:val="22"/>
                    </w:rPr>
                  </w:pPr>
                  <w:r w:rsidRPr="00313FBF">
                    <w:rPr>
                      <w:sz w:val="22"/>
                      <w:szCs w:val="22"/>
                    </w:rPr>
                    <w:t>830308,76</w:t>
                  </w:r>
                </w:p>
              </w:tc>
              <w:tc>
                <w:tcPr>
                  <w:tcW w:w="1276" w:type="dxa"/>
                </w:tcPr>
                <w:p w14:paraId="76EB491C" w14:textId="3BD77852" w:rsidR="00D01882" w:rsidRPr="00313FBF" w:rsidRDefault="007767CB" w:rsidP="007767CB">
                  <w:pPr>
                    <w:tabs>
                      <w:tab w:val="left" w:pos="851"/>
                    </w:tabs>
                    <w:jc w:val="center"/>
                    <w:rPr>
                      <w:sz w:val="22"/>
                      <w:szCs w:val="22"/>
                    </w:rPr>
                  </w:pPr>
                  <w:r w:rsidRPr="00313FBF">
                    <w:rPr>
                      <w:sz w:val="22"/>
                      <w:szCs w:val="22"/>
                    </w:rPr>
                    <w:t>99.76 %</w:t>
                  </w:r>
                </w:p>
              </w:tc>
              <w:tc>
                <w:tcPr>
                  <w:tcW w:w="3146" w:type="dxa"/>
                </w:tcPr>
                <w:p w14:paraId="3B60A564" w14:textId="75F205BE" w:rsidR="00D01882" w:rsidRPr="00313FBF" w:rsidRDefault="007767CB" w:rsidP="00313FBF">
                  <w:pPr>
                    <w:tabs>
                      <w:tab w:val="left" w:pos="851"/>
                    </w:tabs>
                    <w:rPr>
                      <w:sz w:val="22"/>
                      <w:szCs w:val="22"/>
                    </w:rPr>
                  </w:pPr>
                  <w:r w:rsidRPr="00313FBF">
                    <w:rPr>
                      <w:sz w:val="22"/>
                      <w:szCs w:val="22"/>
                    </w:rPr>
                    <w:t>Nepanaudotos socialinio draudimo įmokų lėšos</w:t>
                  </w:r>
                </w:p>
              </w:tc>
            </w:tr>
            <w:tr w:rsidR="00D01882" w:rsidRPr="00313FBF" w14:paraId="3DDB5AC3" w14:textId="77777777" w:rsidTr="007767CB">
              <w:tc>
                <w:tcPr>
                  <w:tcW w:w="1856" w:type="dxa"/>
                </w:tcPr>
                <w:p w14:paraId="2AC6015D" w14:textId="3FC00001" w:rsidR="00D01882" w:rsidRPr="00313FBF" w:rsidRDefault="007767CB" w:rsidP="00313FBF">
                  <w:pPr>
                    <w:tabs>
                      <w:tab w:val="left" w:pos="851"/>
                    </w:tabs>
                    <w:rPr>
                      <w:sz w:val="22"/>
                      <w:szCs w:val="22"/>
                    </w:rPr>
                  </w:pPr>
                  <w:r w:rsidRPr="00313FBF">
                    <w:rPr>
                      <w:sz w:val="22"/>
                      <w:szCs w:val="22"/>
                    </w:rPr>
                    <w:t>Specialioji tikslinė dotacija (VB)</w:t>
                  </w:r>
                </w:p>
              </w:tc>
              <w:tc>
                <w:tcPr>
                  <w:tcW w:w="1454" w:type="dxa"/>
                </w:tcPr>
                <w:p w14:paraId="092F09B5" w14:textId="05E0F1C4" w:rsidR="00D01882" w:rsidRPr="00313FBF" w:rsidRDefault="007767CB" w:rsidP="007767CB">
                  <w:pPr>
                    <w:tabs>
                      <w:tab w:val="left" w:pos="851"/>
                    </w:tabs>
                    <w:jc w:val="center"/>
                    <w:rPr>
                      <w:sz w:val="22"/>
                      <w:szCs w:val="22"/>
                    </w:rPr>
                  </w:pPr>
                  <w:r w:rsidRPr="00313FBF">
                    <w:rPr>
                      <w:sz w:val="22"/>
                      <w:szCs w:val="22"/>
                    </w:rPr>
                    <w:t>468000</w:t>
                  </w:r>
                </w:p>
              </w:tc>
              <w:tc>
                <w:tcPr>
                  <w:tcW w:w="1562" w:type="dxa"/>
                </w:tcPr>
                <w:p w14:paraId="6C940BB7" w14:textId="18C593E6" w:rsidR="00D01882" w:rsidRPr="00313FBF" w:rsidRDefault="007767CB" w:rsidP="007767CB">
                  <w:pPr>
                    <w:tabs>
                      <w:tab w:val="left" w:pos="851"/>
                    </w:tabs>
                    <w:jc w:val="center"/>
                    <w:rPr>
                      <w:sz w:val="22"/>
                      <w:szCs w:val="22"/>
                    </w:rPr>
                  </w:pPr>
                  <w:r w:rsidRPr="00313FBF">
                    <w:rPr>
                      <w:sz w:val="22"/>
                      <w:szCs w:val="22"/>
                    </w:rPr>
                    <w:t>467747,41</w:t>
                  </w:r>
                </w:p>
              </w:tc>
              <w:tc>
                <w:tcPr>
                  <w:tcW w:w="1276" w:type="dxa"/>
                </w:tcPr>
                <w:p w14:paraId="069256B5" w14:textId="57623D4D" w:rsidR="00D01882" w:rsidRPr="00313FBF" w:rsidRDefault="007767CB" w:rsidP="007767CB">
                  <w:pPr>
                    <w:tabs>
                      <w:tab w:val="left" w:pos="851"/>
                    </w:tabs>
                    <w:jc w:val="center"/>
                    <w:rPr>
                      <w:sz w:val="22"/>
                      <w:szCs w:val="22"/>
                    </w:rPr>
                  </w:pPr>
                  <w:r w:rsidRPr="00313FBF">
                    <w:rPr>
                      <w:sz w:val="22"/>
                      <w:szCs w:val="22"/>
                    </w:rPr>
                    <w:t>99.95 %</w:t>
                  </w:r>
                </w:p>
              </w:tc>
              <w:tc>
                <w:tcPr>
                  <w:tcW w:w="3146" w:type="dxa"/>
                </w:tcPr>
                <w:p w14:paraId="37150E88" w14:textId="29DF9021" w:rsidR="00D01882" w:rsidRPr="00313FBF" w:rsidRDefault="007767CB" w:rsidP="00313FBF">
                  <w:pPr>
                    <w:tabs>
                      <w:tab w:val="left" w:pos="851"/>
                    </w:tabs>
                    <w:rPr>
                      <w:sz w:val="22"/>
                      <w:szCs w:val="22"/>
                    </w:rPr>
                  </w:pPr>
                  <w:r w:rsidRPr="00313FBF">
                    <w:rPr>
                      <w:sz w:val="22"/>
                      <w:szCs w:val="22"/>
                    </w:rPr>
                    <w:t>Nepanaudotos ligos pašalpos lėšos</w:t>
                  </w:r>
                </w:p>
              </w:tc>
            </w:tr>
            <w:tr w:rsidR="00D01882" w:rsidRPr="00313FBF" w14:paraId="614D3AC1" w14:textId="77777777" w:rsidTr="007767CB">
              <w:tc>
                <w:tcPr>
                  <w:tcW w:w="1856" w:type="dxa"/>
                </w:tcPr>
                <w:p w14:paraId="2335BF23" w14:textId="11DC4520" w:rsidR="00D01882" w:rsidRPr="00313FBF" w:rsidRDefault="007767CB" w:rsidP="00313FBF">
                  <w:pPr>
                    <w:tabs>
                      <w:tab w:val="left" w:pos="851"/>
                    </w:tabs>
                    <w:rPr>
                      <w:sz w:val="22"/>
                      <w:szCs w:val="22"/>
                    </w:rPr>
                  </w:pPr>
                  <w:r w:rsidRPr="00313FBF">
                    <w:rPr>
                      <w:sz w:val="22"/>
                      <w:szCs w:val="22"/>
                    </w:rPr>
                    <w:t>Mokyklos gautos pajamos (surinkta pajamų SP), iš jų:</w:t>
                  </w:r>
                </w:p>
              </w:tc>
              <w:tc>
                <w:tcPr>
                  <w:tcW w:w="1454" w:type="dxa"/>
                </w:tcPr>
                <w:p w14:paraId="5FF26274" w14:textId="52D04DCB" w:rsidR="00D01882" w:rsidRPr="00313FBF" w:rsidRDefault="007767CB" w:rsidP="007767CB">
                  <w:pPr>
                    <w:tabs>
                      <w:tab w:val="left" w:pos="851"/>
                    </w:tabs>
                    <w:jc w:val="center"/>
                    <w:rPr>
                      <w:sz w:val="22"/>
                      <w:szCs w:val="22"/>
                    </w:rPr>
                  </w:pPr>
                  <w:r w:rsidRPr="00313FBF">
                    <w:rPr>
                      <w:sz w:val="22"/>
                      <w:szCs w:val="22"/>
                    </w:rPr>
                    <w:t>136427,76</w:t>
                  </w:r>
                </w:p>
              </w:tc>
              <w:tc>
                <w:tcPr>
                  <w:tcW w:w="1562" w:type="dxa"/>
                </w:tcPr>
                <w:p w14:paraId="70B7D394" w14:textId="228107B7" w:rsidR="00D01882" w:rsidRPr="00313FBF" w:rsidRDefault="007767CB" w:rsidP="007767CB">
                  <w:pPr>
                    <w:tabs>
                      <w:tab w:val="left" w:pos="851"/>
                    </w:tabs>
                    <w:jc w:val="center"/>
                    <w:rPr>
                      <w:sz w:val="22"/>
                      <w:szCs w:val="22"/>
                    </w:rPr>
                  </w:pPr>
                  <w:r w:rsidRPr="00313FBF">
                    <w:rPr>
                      <w:sz w:val="22"/>
                      <w:szCs w:val="22"/>
                    </w:rPr>
                    <w:t>106021,84</w:t>
                  </w:r>
                </w:p>
              </w:tc>
              <w:tc>
                <w:tcPr>
                  <w:tcW w:w="1276" w:type="dxa"/>
                </w:tcPr>
                <w:p w14:paraId="573CD3FE" w14:textId="77777777" w:rsidR="00D01882" w:rsidRPr="00313FBF" w:rsidRDefault="00D01882" w:rsidP="007767CB">
                  <w:pPr>
                    <w:tabs>
                      <w:tab w:val="left" w:pos="851"/>
                    </w:tabs>
                    <w:jc w:val="center"/>
                    <w:rPr>
                      <w:sz w:val="22"/>
                      <w:szCs w:val="22"/>
                    </w:rPr>
                  </w:pPr>
                </w:p>
              </w:tc>
              <w:tc>
                <w:tcPr>
                  <w:tcW w:w="3146" w:type="dxa"/>
                </w:tcPr>
                <w:p w14:paraId="539DA199" w14:textId="77777777" w:rsidR="00D01882" w:rsidRPr="00313FBF" w:rsidRDefault="00D01882" w:rsidP="00313FBF">
                  <w:pPr>
                    <w:tabs>
                      <w:tab w:val="left" w:pos="851"/>
                    </w:tabs>
                    <w:rPr>
                      <w:sz w:val="22"/>
                      <w:szCs w:val="22"/>
                    </w:rPr>
                  </w:pPr>
                </w:p>
              </w:tc>
            </w:tr>
            <w:tr w:rsidR="007767CB" w:rsidRPr="00313FBF" w14:paraId="74F7BAB1" w14:textId="77777777" w:rsidTr="007767CB">
              <w:tc>
                <w:tcPr>
                  <w:tcW w:w="1856" w:type="dxa"/>
                </w:tcPr>
                <w:p w14:paraId="5A6E2B58" w14:textId="795F69EF" w:rsidR="007767CB" w:rsidRPr="00313FBF" w:rsidRDefault="007767CB" w:rsidP="00313FBF">
                  <w:pPr>
                    <w:tabs>
                      <w:tab w:val="left" w:pos="851"/>
                    </w:tabs>
                    <w:rPr>
                      <w:sz w:val="22"/>
                      <w:szCs w:val="22"/>
                    </w:rPr>
                  </w:pPr>
                  <w:r w:rsidRPr="00313FBF">
                    <w:rPr>
                      <w:sz w:val="22"/>
                      <w:szCs w:val="22"/>
                    </w:rPr>
                    <w:t>Pajamų išlaidos (SP)</w:t>
                  </w:r>
                </w:p>
              </w:tc>
              <w:tc>
                <w:tcPr>
                  <w:tcW w:w="1454" w:type="dxa"/>
                </w:tcPr>
                <w:p w14:paraId="4F81B6D2" w14:textId="43BA01F1" w:rsidR="007767CB" w:rsidRPr="00313FBF" w:rsidRDefault="007767CB" w:rsidP="007767CB">
                  <w:pPr>
                    <w:tabs>
                      <w:tab w:val="left" w:pos="851"/>
                    </w:tabs>
                    <w:jc w:val="center"/>
                    <w:rPr>
                      <w:sz w:val="22"/>
                      <w:szCs w:val="22"/>
                    </w:rPr>
                  </w:pPr>
                  <w:r w:rsidRPr="00313FBF">
                    <w:rPr>
                      <w:sz w:val="22"/>
                      <w:szCs w:val="22"/>
                    </w:rPr>
                    <w:t>126400</w:t>
                  </w:r>
                </w:p>
              </w:tc>
              <w:tc>
                <w:tcPr>
                  <w:tcW w:w="1562" w:type="dxa"/>
                </w:tcPr>
                <w:p w14:paraId="3E4F66B0" w14:textId="6F938AD3" w:rsidR="007767CB" w:rsidRPr="00313FBF" w:rsidRDefault="007767CB" w:rsidP="007767CB">
                  <w:pPr>
                    <w:tabs>
                      <w:tab w:val="left" w:pos="851"/>
                    </w:tabs>
                    <w:jc w:val="center"/>
                    <w:rPr>
                      <w:sz w:val="22"/>
                      <w:szCs w:val="22"/>
                    </w:rPr>
                  </w:pPr>
                  <w:r w:rsidRPr="00313FBF">
                    <w:rPr>
                      <w:sz w:val="22"/>
                      <w:szCs w:val="22"/>
                    </w:rPr>
                    <w:t>103967,70</w:t>
                  </w:r>
                </w:p>
              </w:tc>
              <w:tc>
                <w:tcPr>
                  <w:tcW w:w="1276" w:type="dxa"/>
                </w:tcPr>
                <w:p w14:paraId="072343F5" w14:textId="23336C23" w:rsidR="007767CB" w:rsidRPr="00313FBF" w:rsidRDefault="007767CB" w:rsidP="007767CB">
                  <w:pPr>
                    <w:tabs>
                      <w:tab w:val="left" w:pos="851"/>
                    </w:tabs>
                    <w:jc w:val="center"/>
                    <w:rPr>
                      <w:sz w:val="22"/>
                      <w:szCs w:val="22"/>
                    </w:rPr>
                  </w:pPr>
                  <w:r w:rsidRPr="00313FBF">
                    <w:rPr>
                      <w:sz w:val="22"/>
                      <w:szCs w:val="22"/>
                    </w:rPr>
                    <w:t>82,25 %</w:t>
                  </w:r>
                </w:p>
              </w:tc>
              <w:tc>
                <w:tcPr>
                  <w:tcW w:w="3146" w:type="dxa"/>
                </w:tcPr>
                <w:p w14:paraId="6EF2D58F" w14:textId="577A0187" w:rsidR="007767CB" w:rsidRPr="00313FBF" w:rsidRDefault="007767CB" w:rsidP="00313FBF">
                  <w:pPr>
                    <w:tabs>
                      <w:tab w:val="left" w:pos="851"/>
                    </w:tabs>
                    <w:rPr>
                      <w:sz w:val="22"/>
                      <w:szCs w:val="22"/>
                    </w:rPr>
                  </w:pPr>
                  <w:r w:rsidRPr="00313FBF">
                    <w:rPr>
                      <w:sz w:val="22"/>
                      <w:szCs w:val="22"/>
                    </w:rPr>
                    <w:t>Sumažėjęs vaikų lankomumas</w:t>
                  </w:r>
                </w:p>
              </w:tc>
            </w:tr>
            <w:tr w:rsidR="007767CB" w:rsidRPr="00313FBF" w14:paraId="0D47E7C9" w14:textId="77777777" w:rsidTr="007767CB">
              <w:tc>
                <w:tcPr>
                  <w:tcW w:w="1856" w:type="dxa"/>
                </w:tcPr>
                <w:p w14:paraId="7B595ABD" w14:textId="4916A09E" w:rsidR="007767CB" w:rsidRPr="00313FBF" w:rsidRDefault="007767CB" w:rsidP="00313FBF">
                  <w:pPr>
                    <w:tabs>
                      <w:tab w:val="left" w:pos="851"/>
                    </w:tabs>
                    <w:rPr>
                      <w:sz w:val="22"/>
                      <w:szCs w:val="22"/>
                    </w:rPr>
                  </w:pPr>
                  <w:r w:rsidRPr="00313FBF">
                    <w:rPr>
                      <w:sz w:val="22"/>
                      <w:szCs w:val="22"/>
                    </w:rPr>
                    <w:t>Kitos lėšos (parama 1,2 % GPM ir kt.)</w:t>
                  </w:r>
                </w:p>
              </w:tc>
              <w:tc>
                <w:tcPr>
                  <w:tcW w:w="1454" w:type="dxa"/>
                </w:tcPr>
                <w:p w14:paraId="2DFB0251" w14:textId="37B8DAA1" w:rsidR="007767CB" w:rsidRPr="00313FBF" w:rsidRDefault="007767CB" w:rsidP="007767CB">
                  <w:pPr>
                    <w:tabs>
                      <w:tab w:val="left" w:pos="851"/>
                    </w:tabs>
                    <w:jc w:val="center"/>
                    <w:rPr>
                      <w:sz w:val="22"/>
                      <w:szCs w:val="22"/>
                    </w:rPr>
                  </w:pPr>
                  <w:r w:rsidRPr="00313FBF">
                    <w:rPr>
                      <w:sz w:val="22"/>
                      <w:szCs w:val="22"/>
                    </w:rPr>
                    <w:t>10027,76</w:t>
                  </w:r>
                </w:p>
              </w:tc>
              <w:tc>
                <w:tcPr>
                  <w:tcW w:w="1562" w:type="dxa"/>
                </w:tcPr>
                <w:p w14:paraId="1194A86F" w14:textId="4B7EB663" w:rsidR="007767CB" w:rsidRPr="00313FBF" w:rsidRDefault="007767CB" w:rsidP="007767CB">
                  <w:pPr>
                    <w:tabs>
                      <w:tab w:val="left" w:pos="851"/>
                    </w:tabs>
                    <w:jc w:val="center"/>
                    <w:rPr>
                      <w:sz w:val="22"/>
                      <w:szCs w:val="22"/>
                    </w:rPr>
                  </w:pPr>
                  <w:r w:rsidRPr="00313FBF">
                    <w:rPr>
                      <w:sz w:val="22"/>
                      <w:szCs w:val="22"/>
                    </w:rPr>
                    <w:t>2054,14</w:t>
                  </w:r>
                </w:p>
              </w:tc>
              <w:tc>
                <w:tcPr>
                  <w:tcW w:w="1276" w:type="dxa"/>
                </w:tcPr>
                <w:p w14:paraId="0F0E56FC" w14:textId="19462BFB" w:rsidR="007767CB" w:rsidRPr="00313FBF" w:rsidRDefault="007767CB" w:rsidP="007767CB">
                  <w:pPr>
                    <w:tabs>
                      <w:tab w:val="left" w:pos="851"/>
                    </w:tabs>
                    <w:jc w:val="center"/>
                    <w:rPr>
                      <w:sz w:val="22"/>
                      <w:szCs w:val="22"/>
                    </w:rPr>
                  </w:pPr>
                  <w:r w:rsidRPr="00313FBF">
                    <w:rPr>
                      <w:sz w:val="22"/>
                      <w:szCs w:val="22"/>
                    </w:rPr>
                    <w:t>20.48 %</w:t>
                  </w:r>
                </w:p>
              </w:tc>
              <w:tc>
                <w:tcPr>
                  <w:tcW w:w="3146" w:type="dxa"/>
                </w:tcPr>
                <w:p w14:paraId="342BBEEA" w14:textId="1792DAC1" w:rsidR="007767CB" w:rsidRPr="00313FBF" w:rsidRDefault="007767CB" w:rsidP="00313FBF">
                  <w:pPr>
                    <w:tabs>
                      <w:tab w:val="left" w:pos="851"/>
                    </w:tabs>
                    <w:rPr>
                      <w:sz w:val="22"/>
                      <w:szCs w:val="22"/>
                    </w:rPr>
                  </w:pPr>
                  <w:r w:rsidRPr="00313FBF">
                    <w:rPr>
                      <w:sz w:val="22"/>
                      <w:szCs w:val="22"/>
                    </w:rPr>
                    <w:t>–</w:t>
                  </w:r>
                </w:p>
              </w:tc>
            </w:tr>
            <w:tr w:rsidR="007767CB" w:rsidRPr="00313FBF" w14:paraId="0787F09A" w14:textId="77777777" w:rsidTr="007767CB">
              <w:tc>
                <w:tcPr>
                  <w:tcW w:w="1856" w:type="dxa"/>
                </w:tcPr>
                <w:p w14:paraId="4530A43E" w14:textId="257FCE5A" w:rsidR="007767CB" w:rsidRPr="00313FBF" w:rsidRDefault="007767CB" w:rsidP="006D31B3">
                  <w:pPr>
                    <w:tabs>
                      <w:tab w:val="left" w:pos="851"/>
                    </w:tabs>
                    <w:jc w:val="both"/>
                    <w:rPr>
                      <w:sz w:val="22"/>
                      <w:szCs w:val="22"/>
                    </w:rPr>
                  </w:pPr>
                  <w:r w:rsidRPr="00313FBF">
                    <w:rPr>
                      <w:sz w:val="22"/>
                      <w:szCs w:val="22"/>
                    </w:rPr>
                    <w:t>Iš viso</w:t>
                  </w:r>
                  <w:r w:rsidR="005C404E" w:rsidRPr="00313FBF">
                    <w:rPr>
                      <w:sz w:val="22"/>
                      <w:szCs w:val="22"/>
                    </w:rPr>
                    <w:t>:</w:t>
                  </w:r>
                </w:p>
              </w:tc>
              <w:tc>
                <w:tcPr>
                  <w:tcW w:w="1454" w:type="dxa"/>
                </w:tcPr>
                <w:p w14:paraId="7619BBCE" w14:textId="74ECDB72" w:rsidR="007767CB" w:rsidRPr="00313FBF" w:rsidRDefault="005C404E" w:rsidP="007767CB">
                  <w:pPr>
                    <w:tabs>
                      <w:tab w:val="left" w:pos="851"/>
                    </w:tabs>
                    <w:jc w:val="center"/>
                    <w:rPr>
                      <w:sz w:val="22"/>
                      <w:szCs w:val="22"/>
                    </w:rPr>
                  </w:pPr>
                  <w:r w:rsidRPr="00313FBF">
                    <w:rPr>
                      <w:sz w:val="22"/>
                      <w:szCs w:val="22"/>
                    </w:rPr>
                    <w:t>1528227,76</w:t>
                  </w:r>
                </w:p>
              </w:tc>
              <w:tc>
                <w:tcPr>
                  <w:tcW w:w="1562" w:type="dxa"/>
                </w:tcPr>
                <w:p w14:paraId="5446D382" w14:textId="6199160D" w:rsidR="007767CB" w:rsidRPr="00313FBF" w:rsidRDefault="005C404E" w:rsidP="007767CB">
                  <w:pPr>
                    <w:tabs>
                      <w:tab w:val="left" w:pos="851"/>
                    </w:tabs>
                    <w:jc w:val="center"/>
                    <w:rPr>
                      <w:sz w:val="22"/>
                      <w:szCs w:val="22"/>
                    </w:rPr>
                  </w:pPr>
                  <w:r w:rsidRPr="00313FBF">
                    <w:rPr>
                      <w:sz w:val="22"/>
                      <w:szCs w:val="22"/>
                    </w:rPr>
                    <w:t>1495642,68</w:t>
                  </w:r>
                </w:p>
              </w:tc>
              <w:tc>
                <w:tcPr>
                  <w:tcW w:w="1276" w:type="dxa"/>
                </w:tcPr>
                <w:p w14:paraId="3C2CFDDD" w14:textId="785FA788" w:rsidR="007767CB" w:rsidRPr="00313FBF" w:rsidRDefault="005C404E" w:rsidP="007767CB">
                  <w:pPr>
                    <w:tabs>
                      <w:tab w:val="left" w:pos="851"/>
                    </w:tabs>
                    <w:jc w:val="center"/>
                    <w:rPr>
                      <w:sz w:val="22"/>
                      <w:szCs w:val="22"/>
                    </w:rPr>
                  </w:pPr>
                  <w:r w:rsidRPr="00313FBF">
                    <w:rPr>
                      <w:sz w:val="22"/>
                      <w:szCs w:val="22"/>
                    </w:rPr>
                    <w:t>97,87 %</w:t>
                  </w:r>
                </w:p>
              </w:tc>
              <w:tc>
                <w:tcPr>
                  <w:tcW w:w="3146" w:type="dxa"/>
                </w:tcPr>
                <w:p w14:paraId="2513E6BF" w14:textId="159EB5F2" w:rsidR="007767CB" w:rsidRPr="00313FBF" w:rsidRDefault="007767CB" w:rsidP="00313FBF">
                  <w:pPr>
                    <w:tabs>
                      <w:tab w:val="left" w:pos="851"/>
                    </w:tabs>
                    <w:rPr>
                      <w:sz w:val="22"/>
                      <w:szCs w:val="22"/>
                    </w:rPr>
                  </w:pPr>
                  <w:r w:rsidRPr="00313FBF">
                    <w:rPr>
                      <w:sz w:val="22"/>
                      <w:szCs w:val="22"/>
                    </w:rPr>
                    <w:t>–</w:t>
                  </w:r>
                </w:p>
              </w:tc>
            </w:tr>
            <w:tr w:rsidR="005C404E" w:rsidRPr="00313FBF" w14:paraId="495DD6A6" w14:textId="77777777" w:rsidTr="0009436C">
              <w:tc>
                <w:tcPr>
                  <w:tcW w:w="4872" w:type="dxa"/>
                  <w:gridSpan w:val="3"/>
                </w:tcPr>
                <w:p w14:paraId="343BC97D" w14:textId="72757A05" w:rsidR="005C404E" w:rsidRPr="00313FBF" w:rsidRDefault="005C404E" w:rsidP="007767CB">
                  <w:pPr>
                    <w:tabs>
                      <w:tab w:val="left" w:pos="851"/>
                    </w:tabs>
                    <w:jc w:val="center"/>
                    <w:rPr>
                      <w:sz w:val="22"/>
                      <w:szCs w:val="22"/>
                    </w:rPr>
                  </w:pPr>
                  <w:r w:rsidRPr="00313FBF">
                    <w:rPr>
                      <w:sz w:val="22"/>
                      <w:szCs w:val="22"/>
                    </w:rPr>
                    <w:t>Kreditinis įsiskolinimas (pagal visus finansavimo šaltinius) 2026 m. sausio 1 d.</w:t>
                  </w:r>
                </w:p>
              </w:tc>
              <w:tc>
                <w:tcPr>
                  <w:tcW w:w="4422" w:type="dxa"/>
                  <w:gridSpan w:val="2"/>
                </w:tcPr>
                <w:p w14:paraId="434857D1" w14:textId="459A7740" w:rsidR="005C404E" w:rsidRPr="00313FBF" w:rsidRDefault="005C404E" w:rsidP="006D31B3">
                  <w:pPr>
                    <w:tabs>
                      <w:tab w:val="left" w:pos="851"/>
                    </w:tabs>
                    <w:jc w:val="both"/>
                    <w:rPr>
                      <w:sz w:val="22"/>
                      <w:szCs w:val="22"/>
                    </w:rPr>
                  </w:pPr>
                  <w:r w:rsidRPr="00313FBF">
                    <w:rPr>
                      <w:sz w:val="22"/>
                      <w:szCs w:val="22"/>
                    </w:rPr>
                    <w:t>365,91(maisto, ryšių ūkio išlaidų sąskaitos, išrašytos 2025 gruodžio 31 d.).</w:t>
                  </w:r>
                </w:p>
              </w:tc>
            </w:tr>
          </w:tbl>
          <w:p w14:paraId="3D2B6C6F" w14:textId="19635054" w:rsidR="00D01882" w:rsidRPr="00313FBF" w:rsidRDefault="00D01882" w:rsidP="006D31B3">
            <w:pPr>
              <w:tabs>
                <w:tab w:val="left" w:pos="851"/>
              </w:tabs>
              <w:jc w:val="both"/>
              <w:rPr>
                <w:sz w:val="22"/>
                <w:szCs w:val="22"/>
              </w:rPr>
            </w:pPr>
          </w:p>
          <w:p w14:paraId="146AB890" w14:textId="7F26E04D" w:rsidR="00FA71E3" w:rsidRPr="00313FBF" w:rsidRDefault="00FA71E3" w:rsidP="00FA71E3">
            <w:pPr>
              <w:tabs>
                <w:tab w:val="left" w:pos="851"/>
              </w:tabs>
              <w:jc w:val="both"/>
              <w:rPr>
                <w:sz w:val="22"/>
                <w:szCs w:val="22"/>
              </w:rPr>
            </w:pPr>
            <w:r w:rsidRPr="00313FBF">
              <w:rPr>
                <w:sz w:val="22"/>
                <w:szCs w:val="22"/>
              </w:rPr>
              <w:tab/>
              <w:t>2025 m. Įstaigoje liko neišspręstos tokios vidaus ir išorės faktorių sąlygotos problemos:</w:t>
            </w:r>
          </w:p>
          <w:p w14:paraId="5D373704" w14:textId="1549C65C" w:rsidR="00FA71E3" w:rsidRPr="00313FBF" w:rsidRDefault="00FA71E3" w:rsidP="00FA71E3">
            <w:pPr>
              <w:tabs>
                <w:tab w:val="left" w:pos="851"/>
              </w:tabs>
              <w:jc w:val="both"/>
              <w:rPr>
                <w:sz w:val="22"/>
                <w:szCs w:val="22"/>
              </w:rPr>
            </w:pPr>
            <w:r w:rsidRPr="00313FBF">
              <w:rPr>
                <w:sz w:val="22"/>
                <w:szCs w:val="22"/>
              </w:rPr>
              <w:tab/>
              <w:t>1. Nesaugi, kelianti grėsmę vaikų sveikatai Įstaigos lauko takelių danga. Klaipėdos miesto savivaldybės administracija apie problemą informuota 2023-09-29 raštais Nr. ESI-18 „Dėl K</w:t>
            </w:r>
            <w:r w:rsidR="003C3EF0" w:rsidRPr="00313FBF">
              <w:rPr>
                <w:sz w:val="22"/>
                <w:szCs w:val="22"/>
              </w:rPr>
              <w:t>l</w:t>
            </w:r>
            <w:r w:rsidRPr="00313FBF">
              <w:rPr>
                <w:sz w:val="22"/>
                <w:szCs w:val="22"/>
              </w:rPr>
              <w:t>aipėdos lopšelio-darželio „Nykštukas“ kapitalinio lauko plytelių dangos atnaujinimo“, 2024-09-23 Nr. ESI-58 „Dėl K</w:t>
            </w:r>
            <w:r w:rsidR="003C3EF0" w:rsidRPr="00313FBF">
              <w:rPr>
                <w:sz w:val="22"/>
                <w:szCs w:val="22"/>
              </w:rPr>
              <w:t>l</w:t>
            </w:r>
            <w:r w:rsidRPr="00313FBF">
              <w:rPr>
                <w:sz w:val="22"/>
                <w:szCs w:val="22"/>
              </w:rPr>
              <w:t>aipėdos lopšelio-darželio „Nykštukas“ kapitalinio lauko plytelių dangos atnaujinimo“, 2025-05-30 Nr. S-212 „Dėl lėšų poreikio paprastojo remonto darbams“.</w:t>
            </w:r>
          </w:p>
          <w:p w14:paraId="2A4671F7" w14:textId="77777777" w:rsidR="00FA71E3" w:rsidRPr="00313FBF" w:rsidRDefault="00FA71E3" w:rsidP="00FA71E3">
            <w:pPr>
              <w:tabs>
                <w:tab w:val="left" w:pos="851"/>
              </w:tabs>
              <w:jc w:val="both"/>
              <w:rPr>
                <w:sz w:val="22"/>
                <w:szCs w:val="22"/>
              </w:rPr>
            </w:pPr>
            <w:r w:rsidRPr="00313FBF">
              <w:rPr>
                <w:sz w:val="22"/>
                <w:szCs w:val="22"/>
              </w:rPr>
              <w:tab/>
              <w:t xml:space="preserve">2. Įstaigos teritorijoje nėra tinkamo drenažo, todėl po lietaus žaidimų aikštelėse laikosi vanduo, vaikai negali jomis naudotis. Klaipėdos miesto savivaldybės administracija apie problemą informuota 2025-11-18 raštu Nr. S-339 (R-11977) „Dėl užliejamos teritorijos“. </w:t>
            </w:r>
          </w:p>
          <w:p w14:paraId="6B8EDE94" w14:textId="77777777" w:rsidR="00FA71E3" w:rsidRPr="00313FBF" w:rsidRDefault="00FA71E3" w:rsidP="00FA71E3">
            <w:pPr>
              <w:tabs>
                <w:tab w:val="left" w:pos="851"/>
              </w:tabs>
              <w:jc w:val="both"/>
              <w:rPr>
                <w:sz w:val="22"/>
                <w:szCs w:val="22"/>
              </w:rPr>
            </w:pPr>
            <w:r w:rsidRPr="00313FBF">
              <w:rPr>
                <w:sz w:val="22"/>
                <w:szCs w:val="22"/>
              </w:rPr>
              <w:tab/>
              <w:t xml:space="preserve">3. Nėra lietaus nuotekų surinkimo tinklo, todėl vanduo patenka į rūsį, drėgmė ir pelėsis laikosi rūsyje, plinta į grupių, virtuvės patalpas. </w:t>
            </w:r>
          </w:p>
          <w:p w14:paraId="080C648A" w14:textId="1DEB943F" w:rsidR="00BC520C" w:rsidRPr="00313FBF" w:rsidRDefault="00FA71E3" w:rsidP="00FA71E3">
            <w:pPr>
              <w:tabs>
                <w:tab w:val="left" w:pos="851"/>
                <w:tab w:val="left" w:pos="909"/>
              </w:tabs>
              <w:jc w:val="both"/>
              <w:rPr>
                <w:sz w:val="22"/>
                <w:szCs w:val="22"/>
                <w:lang w:eastAsia="lt-LT"/>
              </w:rPr>
            </w:pPr>
            <w:r w:rsidRPr="00313FBF">
              <w:rPr>
                <w:sz w:val="22"/>
                <w:szCs w:val="22"/>
              </w:rPr>
              <w:tab/>
              <w:t>Planuodama 2026 metų veiklą, Įstaigos bendruomenė susitarė prioritetinį dėmesį skirti atnaujinto ikimokyklinio ir priešmokyklinio ugdymo turinio įgyvendinimui, siekiant atskleisti ir stiprinti individualius vaiko gebėjimus, užtikrinti visų vaikų įtrauktį universalaus dizaino mokymuisi kontekste</w:t>
            </w:r>
            <w:r w:rsidR="00063080">
              <w:rPr>
                <w:sz w:val="22"/>
                <w:szCs w:val="22"/>
              </w:rPr>
              <w:t xml:space="preserve"> ir</w:t>
            </w:r>
            <w:r w:rsidRPr="00313FBF">
              <w:rPr>
                <w:sz w:val="22"/>
                <w:szCs w:val="22"/>
              </w:rPr>
              <w:t xml:space="preserve"> stiprinti bendruomenės narių sveikos gyvensenos ir fizinio aktyvumo įgūdžius.</w:t>
            </w:r>
          </w:p>
        </w:tc>
      </w:tr>
    </w:tbl>
    <w:p w14:paraId="26C4C5E1" w14:textId="0F125A10" w:rsidR="002154E0" w:rsidRPr="00313FBF" w:rsidRDefault="002154E0" w:rsidP="00781337">
      <w:pPr>
        <w:tabs>
          <w:tab w:val="left" w:pos="4253"/>
          <w:tab w:val="left" w:pos="6946"/>
        </w:tabs>
        <w:jc w:val="both"/>
        <w:rPr>
          <w:szCs w:val="24"/>
          <w:lang w:eastAsia="lt-LT"/>
        </w:rPr>
      </w:pPr>
      <w:bookmarkStart w:id="0" w:name="_GoBack"/>
      <w:bookmarkEnd w:id="0"/>
    </w:p>
    <w:sectPr w:rsidR="002154E0" w:rsidRPr="00313FBF" w:rsidSect="006D31B3">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FF8EC" w14:textId="77777777" w:rsidR="00231980" w:rsidRDefault="00231980">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000B144" w14:textId="77777777" w:rsidR="00231980" w:rsidRDefault="00231980">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5362" w14:textId="77777777" w:rsidR="0009436C" w:rsidRDefault="0009436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3D829DC9" w14:textId="77777777" w:rsidR="0009436C" w:rsidRDefault="0009436C">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683D3" w14:textId="77777777" w:rsidR="0009436C" w:rsidRDefault="0009436C">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2CD2" w14:textId="77777777" w:rsidR="0009436C" w:rsidRDefault="0009436C">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76879" w14:textId="77777777" w:rsidR="00231980" w:rsidRDefault="00231980">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5B3262A" w14:textId="77777777" w:rsidR="00231980" w:rsidRDefault="00231980">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9895" w14:textId="77777777" w:rsidR="0009436C" w:rsidRDefault="0009436C">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D829" w14:textId="79623B97" w:rsidR="0009436C" w:rsidRDefault="0009436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781337">
      <w:rPr>
        <w:noProof/>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5712" w14:textId="77777777" w:rsidR="0009436C" w:rsidRDefault="0009436C">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443B9"/>
    <w:multiLevelType w:val="hybridMultilevel"/>
    <w:tmpl w:val="E7542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B1597A"/>
    <w:multiLevelType w:val="hybridMultilevel"/>
    <w:tmpl w:val="68F84856"/>
    <w:lvl w:ilvl="0" w:tplc="CE8C76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8881994"/>
    <w:multiLevelType w:val="hybridMultilevel"/>
    <w:tmpl w:val="FD9CD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54"/>
    <w:rsid w:val="00003890"/>
    <w:rsid w:val="00031D4D"/>
    <w:rsid w:val="000433DC"/>
    <w:rsid w:val="0004544C"/>
    <w:rsid w:val="0004716A"/>
    <w:rsid w:val="00063080"/>
    <w:rsid w:val="00067DF0"/>
    <w:rsid w:val="00083E0A"/>
    <w:rsid w:val="0009436C"/>
    <w:rsid w:val="000C5C1E"/>
    <w:rsid w:val="00120EC1"/>
    <w:rsid w:val="001356FF"/>
    <w:rsid w:val="00156878"/>
    <w:rsid w:val="001926BA"/>
    <w:rsid w:val="001D0482"/>
    <w:rsid w:val="001D5794"/>
    <w:rsid w:val="002154E0"/>
    <w:rsid w:val="00231980"/>
    <w:rsid w:val="002329D1"/>
    <w:rsid w:val="002716F0"/>
    <w:rsid w:val="0029380E"/>
    <w:rsid w:val="00293EEE"/>
    <w:rsid w:val="00297AF4"/>
    <w:rsid w:val="002C6526"/>
    <w:rsid w:val="002D528C"/>
    <w:rsid w:val="002F345D"/>
    <w:rsid w:val="002F37A6"/>
    <w:rsid w:val="002F535C"/>
    <w:rsid w:val="00302585"/>
    <w:rsid w:val="00302722"/>
    <w:rsid w:val="00313FBF"/>
    <w:rsid w:val="0032651A"/>
    <w:rsid w:val="003337D0"/>
    <w:rsid w:val="00357800"/>
    <w:rsid w:val="003A5F52"/>
    <w:rsid w:val="003B6817"/>
    <w:rsid w:val="003C3EF0"/>
    <w:rsid w:val="003F34DD"/>
    <w:rsid w:val="00464C58"/>
    <w:rsid w:val="00485E2B"/>
    <w:rsid w:val="00487BFD"/>
    <w:rsid w:val="00492D2F"/>
    <w:rsid w:val="004A287D"/>
    <w:rsid w:val="004A6164"/>
    <w:rsid w:val="004B1909"/>
    <w:rsid w:val="004E14AC"/>
    <w:rsid w:val="004E7E7A"/>
    <w:rsid w:val="00511C96"/>
    <w:rsid w:val="00581A0E"/>
    <w:rsid w:val="00582B5C"/>
    <w:rsid w:val="005834EF"/>
    <w:rsid w:val="005A49C2"/>
    <w:rsid w:val="005B2272"/>
    <w:rsid w:val="005C3E69"/>
    <w:rsid w:val="005C404E"/>
    <w:rsid w:val="005D5F92"/>
    <w:rsid w:val="005D624A"/>
    <w:rsid w:val="00643784"/>
    <w:rsid w:val="00683DB2"/>
    <w:rsid w:val="006914FF"/>
    <w:rsid w:val="006B2342"/>
    <w:rsid w:val="006C3549"/>
    <w:rsid w:val="006D0255"/>
    <w:rsid w:val="006D31B3"/>
    <w:rsid w:val="006E3A67"/>
    <w:rsid w:val="006F0573"/>
    <w:rsid w:val="007040E2"/>
    <w:rsid w:val="00704C83"/>
    <w:rsid w:val="0071681E"/>
    <w:rsid w:val="00726A9B"/>
    <w:rsid w:val="007554CB"/>
    <w:rsid w:val="007767CB"/>
    <w:rsid w:val="00781337"/>
    <w:rsid w:val="007A2FD5"/>
    <w:rsid w:val="007A5A73"/>
    <w:rsid w:val="007B6C68"/>
    <w:rsid w:val="008155C9"/>
    <w:rsid w:val="00816CC0"/>
    <w:rsid w:val="00817184"/>
    <w:rsid w:val="00822007"/>
    <w:rsid w:val="00822AC2"/>
    <w:rsid w:val="00846D0B"/>
    <w:rsid w:val="008614BE"/>
    <w:rsid w:val="0086434A"/>
    <w:rsid w:val="008B4488"/>
    <w:rsid w:val="009171EB"/>
    <w:rsid w:val="00934FD6"/>
    <w:rsid w:val="0095389A"/>
    <w:rsid w:val="00957A85"/>
    <w:rsid w:val="00961487"/>
    <w:rsid w:val="0096670D"/>
    <w:rsid w:val="0097189C"/>
    <w:rsid w:val="009C2B7C"/>
    <w:rsid w:val="009D6D6E"/>
    <w:rsid w:val="009F3854"/>
    <w:rsid w:val="00A2154A"/>
    <w:rsid w:val="00A34288"/>
    <w:rsid w:val="00A56282"/>
    <w:rsid w:val="00A75E98"/>
    <w:rsid w:val="00A901FD"/>
    <w:rsid w:val="00AA4DEA"/>
    <w:rsid w:val="00AE1EF6"/>
    <w:rsid w:val="00B147A9"/>
    <w:rsid w:val="00B33B4B"/>
    <w:rsid w:val="00B416AC"/>
    <w:rsid w:val="00B50B4D"/>
    <w:rsid w:val="00B60390"/>
    <w:rsid w:val="00B63796"/>
    <w:rsid w:val="00B80961"/>
    <w:rsid w:val="00B81859"/>
    <w:rsid w:val="00B90C83"/>
    <w:rsid w:val="00B968AF"/>
    <w:rsid w:val="00BB206F"/>
    <w:rsid w:val="00BC520C"/>
    <w:rsid w:val="00BC6365"/>
    <w:rsid w:val="00BC67FF"/>
    <w:rsid w:val="00BC6819"/>
    <w:rsid w:val="00BD6C28"/>
    <w:rsid w:val="00BF0D47"/>
    <w:rsid w:val="00C070C3"/>
    <w:rsid w:val="00C16E75"/>
    <w:rsid w:val="00C31046"/>
    <w:rsid w:val="00C3128F"/>
    <w:rsid w:val="00C63AD1"/>
    <w:rsid w:val="00C67C3F"/>
    <w:rsid w:val="00CB6847"/>
    <w:rsid w:val="00CF49F3"/>
    <w:rsid w:val="00D01882"/>
    <w:rsid w:val="00D20A4B"/>
    <w:rsid w:val="00D3009A"/>
    <w:rsid w:val="00D3391E"/>
    <w:rsid w:val="00D34BE8"/>
    <w:rsid w:val="00D80F20"/>
    <w:rsid w:val="00D92772"/>
    <w:rsid w:val="00DA4071"/>
    <w:rsid w:val="00DB03F0"/>
    <w:rsid w:val="00DB4424"/>
    <w:rsid w:val="00DE0F66"/>
    <w:rsid w:val="00DE50E6"/>
    <w:rsid w:val="00E159B2"/>
    <w:rsid w:val="00E23753"/>
    <w:rsid w:val="00E26254"/>
    <w:rsid w:val="00E47FF8"/>
    <w:rsid w:val="00EC732C"/>
    <w:rsid w:val="00F1026B"/>
    <w:rsid w:val="00F35168"/>
    <w:rsid w:val="00F50A05"/>
    <w:rsid w:val="00F55E9F"/>
    <w:rsid w:val="00F72193"/>
    <w:rsid w:val="00F77B42"/>
    <w:rsid w:val="00F849B3"/>
    <w:rsid w:val="00FA392F"/>
    <w:rsid w:val="00FA71E3"/>
    <w:rsid w:val="00FA7742"/>
    <w:rsid w:val="00FF5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F59A9"/>
  <w15:docId w15:val="{5C53D547-F613-4ACB-BF66-D587BBE4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F849B3"/>
    <w:rPr>
      <w:sz w:val="16"/>
      <w:szCs w:val="16"/>
    </w:rPr>
  </w:style>
  <w:style w:type="paragraph" w:styleId="Komentarotekstas">
    <w:name w:val="annotation text"/>
    <w:basedOn w:val="prastasis"/>
    <w:link w:val="KomentarotekstasDiagrama"/>
    <w:semiHidden/>
    <w:unhideWhenUsed/>
    <w:rsid w:val="00F849B3"/>
    <w:rPr>
      <w:sz w:val="20"/>
    </w:rPr>
  </w:style>
  <w:style w:type="character" w:customStyle="1" w:styleId="KomentarotekstasDiagrama">
    <w:name w:val="Komentaro tekstas Diagrama"/>
    <w:basedOn w:val="Numatytasispastraiposriftas"/>
    <w:link w:val="Komentarotekstas"/>
    <w:semiHidden/>
    <w:rsid w:val="00F849B3"/>
    <w:rPr>
      <w:sz w:val="20"/>
    </w:rPr>
  </w:style>
  <w:style w:type="paragraph" w:styleId="Komentarotema">
    <w:name w:val="annotation subject"/>
    <w:basedOn w:val="Komentarotekstas"/>
    <w:next w:val="Komentarotekstas"/>
    <w:link w:val="KomentarotemaDiagrama"/>
    <w:semiHidden/>
    <w:unhideWhenUsed/>
    <w:rsid w:val="00F849B3"/>
    <w:rPr>
      <w:b/>
      <w:bCs/>
    </w:rPr>
  </w:style>
  <w:style w:type="character" w:customStyle="1" w:styleId="KomentarotemaDiagrama">
    <w:name w:val="Komentaro tema Diagrama"/>
    <w:basedOn w:val="KomentarotekstasDiagrama"/>
    <w:link w:val="Komentarotema"/>
    <w:semiHidden/>
    <w:rsid w:val="00F849B3"/>
    <w:rPr>
      <w:b/>
      <w:bCs/>
      <w:sz w:val="20"/>
    </w:rPr>
  </w:style>
  <w:style w:type="character" w:styleId="Hipersaitas">
    <w:name w:val="Hyperlink"/>
    <w:basedOn w:val="Numatytasispastraiposriftas"/>
    <w:unhideWhenUsed/>
    <w:rsid w:val="00DA4071"/>
    <w:rPr>
      <w:color w:val="0563C1" w:themeColor="hyperlink"/>
      <w:u w:val="single"/>
    </w:rPr>
  </w:style>
  <w:style w:type="character" w:customStyle="1" w:styleId="Neapdorotaspaminjimas1">
    <w:name w:val="Neapdorotas paminėjimas1"/>
    <w:basedOn w:val="Numatytasispastraiposriftas"/>
    <w:uiPriority w:val="99"/>
    <w:semiHidden/>
    <w:unhideWhenUsed/>
    <w:rsid w:val="00DA4071"/>
    <w:rPr>
      <w:color w:val="605E5C"/>
      <w:shd w:val="clear" w:color="auto" w:fill="E1DFDD"/>
    </w:rPr>
  </w:style>
  <w:style w:type="paragraph" w:styleId="Sraopastraipa">
    <w:name w:val="List Paragraph"/>
    <w:basedOn w:val="prastasis"/>
    <w:qFormat/>
    <w:rsid w:val="002C6526"/>
    <w:pPr>
      <w:spacing w:after="160" w:line="259" w:lineRule="auto"/>
      <w:ind w:left="720"/>
      <w:contextualSpacing/>
    </w:pPr>
    <w:rPr>
      <w:rFonts w:asciiTheme="minorHAnsi" w:eastAsiaTheme="minorHAnsi" w:hAnsiTheme="minorHAnsi" w:cstheme="minorBidi"/>
      <w:sz w:val="22"/>
      <w:szCs w:val="22"/>
    </w:rPr>
  </w:style>
  <w:style w:type="paragraph" w:styleId="Debesliotekstas">
    <w:name w:val="Balloon Text"/>
    <w:basedOn w:val="prastasis"/>
    <w:link w:val="DebesliotekstasDiagrama"/>
    <w:semiHidden/>
    <w:unhideWhenUsed/>
    <w:rsid w:val="004B190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1909"/>
    <w:rPr>
      <w:rFonts w:ascii="Segoe UI" w:hAnsi="Segoe UI" w:cs="Segoe UI"/>
      <w:sz w:val="18"/>
      <w:szCs w:val="18"/>
    </w:rPr>
  </w:style>
  <w:style w:type="paragraph" w:styleId="prastasiniatinklio">
    <w:name w:val="Normal (Web)"/>
    <w:basedOn w:val="prastasis"/>
    <w:uiPriority w:val="99"/>
    <w:unhideWhenUsed/>
    <w:rsid w:val="003F34DD"/>
    <w:pPr>
      <w:spacing w:before="100" w:beforeAutospacing="1" w:after="100" w:afterAutospacing="1"/>
    </w:pPr>
    <w:rPr>
      <w:szCs w:val="24"/>
      <w:lang w:eastAsia="lt-LT"/>
    </w:rPr>
  </w:style>
  <w:style w:type="character" w:customStyle="1" w:styleId="apple-tab-span">
    <w:name w:val="apple-tab-span"/>
    <w:basedOn w:val="Numatytasispastraiposriftas"/>
    <w:rsid w:val="003F34DD"/>
  </w:style>
  <w:style w:type="table" w:styleId="Lentelstinklelis">
    <w:name w:val="Table Grid"/>
    <w:basedOn w:val="prastojilentel"/>
    <w:rsid w:val="00D0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29014">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805784034">
      <w:bodyDiv w:val="1"/>
      <w:marLeft w:val="0"/>
      <w:marRight w:val="0"/>
      <w:marTop w:val="0"/>
      <w:marBottom w:val="0"/>
      <w:divBdr>
        <w:top w:val="none" w:sz="0" w:space="0" w:color="auto"/>
        <w:left w:val="none" w:sz="0" w:space="0" w:color="auto"/>
        <w:bottom w:val="none" w:sz="0" w:space="0" w:color="auto"/>
        <w:right w:val="none" w:sz="0" w:space="0" w:color="auto"/>
      </w:divBdr>
      <w:divsChild>
        <w:div w:id="192547011">
          <w:marLeft w:val="0"/>
          <w:marRight w:val="0"/>
          <w:marTop w:val="0"/>
          <w:marBottom w:val="0"/>
          <w:divBdr>
            <w:top w:val="none" w:sz="0" w:space="0" w:color="auto"/>
            <w:left w:val="none" w:sz="0" w:space="0" w:color="auto"/>
            <w:bottom w:val="none" w:sz="0" w:space="0" w:color="auto"/>
            <w:right w:val="none" w:sz="0" w:space="0" w:color="auto"/>
          </w:divBdr>
          <w:divsChild>
            <w:div w:id="1760906249">
              <w:marLeft w:val="0"/>
              <w:marRight w:val="0"/>
              <w:marTop w:val="0"/>
              <w:marBottom w:val="0"/>
              <w:divBdr>
                <w:top w:val="none" w:sz="0" w:space="0" w:color="auto"/>
                <w:left w:val="none" w:sz="0" w:space="0" w:color="auto"/>
                <w:bottom w:val="none" w:sz="0" w:space="0" w:color="auto"/>
                <w:right w:val="none" w:sz="0" w:space="0" w:color="auto"/>
              </w:divBdr>
            </w:div>
            <w:div w:id="456532921">
              <w:marLeft w:val="0"/>
              <w:marRight w:val="0"/>
              <w:marTop w:val="0"/>
              <w:marBottom w:val="0"/>
              <w:divBdr>
                <w:top w:val="none" w:sz="0" w:space="0" w:color="auto"/>
                <w:left w:val="none" w:sz="0" w:space="0" w:color="auto"/>
                <w:bottom w:val="none" w:sz="0" w:space="0" w:color="auto"/>
                <w:right w:val="none" w:sz="0" w:space="0" w:color="auto"/>
              </w:divBdr>
            </w:div>
          </w:divsChild>
        </w:div>
        <w:div w:id="991833352">
          <w:marLeft w:val="0"/>
          <w:marRight w:val="0"/>
          <w:marTop w:val="0"/>
          <w:marBottom w:val="0"/>
          <w:divBdr>
            <w:top w:val="none" w:sz="0" w:space="0" w:color="auto"/>
            <w:left w:val="none" w:sz="0" w:space="0" w:color="auto"/>
            <w:bottom w:val="none" w:sz="0" w:space="0" w:color="auto"/>
            <w:right w:val="none" w:sz="0" w:space="0" w:color="auto"/>
          </w:divBdr>
        </w:div>
      </w:divsChild>
    </w:div>
    <w:div w:id="1053458026">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275869181">
      <w:bodyDiv w:val="1"/>
      <w:marLeft w:val="0"/>
      <w:marRight w:val="0"/>
      <w:marTop w:val="0"/>
      <w:marBottom w:val="0"/>
      <w:divBdr>
        <w:top w:val="none" w:sz="0" w:space="0" w:color="auto"/>
        <w:left w:val="none" w:sz="0" w:space="0" w:color="auto"/>
        <w:bottom w:val="none" w:sz="0" w:space="0" w:color="auto"/>
        <w:right w:val="none" w:sz="0" w:space="0" w:color="auto"/>
      </w:divBdr>
    </w:div>
    <w:div w:id="1297947492">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516529178">
      <w:bodyDiv w:val="1"/>
      <w:marLeft w:val="0"/>
      <w:marRight w:val="0"/>
      <w:marTop w:val="0"/>
      <w:marBottom w:val="0"/>
      <w:divBdr>
        <w:top w:val="none" w:sz="0" w:space="0" w:color="auto"/>
        <w:left w:val="none" w:sz="0" w:space="0" w:color="auto"/>
        <w:bottom w:val="none" w:sz="0" w:space="0" w:color="auto"/>
        <w:right w:val="none" w:sz="0" w:space="0" w:color="auto"/>
      </w:divBdr>
    </w:div>
    <w:div w:id="169063805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 w:id="21172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3A32-CE2D-4786-8806-205CE85116A8}">
  <ds:schemaRefs>
    <ds:schemaRef ds:uri="http://schemas.microsoft.com/office/2006/metadata/contentType"/>
    <ds:schemaRef ds:uri="http://schemas.microsoft.com/office/2006/metadata/properties/metaAttributes"/>
    <ds:schemaRef ds:uri="http://www.w3.org/2001/XMLSchema"/>
  </ds:schemaRefs>
</ds:datastoreItem>
</file>

<file path=customXml/itemProps2.xml><?xml version="1.0" encoding="utf-8"?>
<ds:datastoreItem xmlns:ds="http://schemas.openxmlformats.org/officeDocument/2006/customXml" ds:itemID="{8F6855D8-6758-4DF6-8BB1-30DD6ABC29E0}">
  <ds:schemaRefs>
    <ds:schemaRef ds:uri="http://schemas.microsoft.com/office/2006/metadata/properties"/>
  </ds:schemaRefs>
</ds:datastoreItem>
</file>

<file path=customXml/itemProps3.xml><?xml version="1.0" encoding="utf-8"?>
<ds:datastoreItem xmlns:ds="http://schemas.openxmlformats.org/officeDocument/2006/customXml" ds:itemID="{81867E2D-F87F-459C-A694-1A731E105548}">
  <ds:schemaRefs>
    <ds:schemaRef ds:uri="http://schemas.microsoft.com/sharepoint/v3/contenttype/forms"/>
  </ds:schemaRefs>
</ds:datastoreItem>
</file>

<file path=customXml/itemProps4.xml><?xml version="1.0" encoding="utf-8"?>
<ds:datastoreItem xmlns:ds="http://schemas.openxmlformats.org/officeDocument/2006/customXml" ds:itemID="{C40E0FAF-1247-4B9C-939E-E6E2D7E8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8199</Words>
  <Characters>4674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ee03e331-3349-47d8-b590-fc919fc3a878</vt:lpstr>
    </vt:vector>
  </TitlesOfParts>
  <Company>VKS</Company>
  <LinksUpToDate>false</LinksUpToDate>
  <CharactersWithSpaces>12848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ee03e331-3349-47d8-b590-fc919fc3a878</dc:title>
  <dc:creator>Razmantienė Audronė</dc:creator>
  <cp:lastModifiedBy>Asus</cp:lastModifiedBy>
  <cp:revision>2</cp:revision>
  <cp:lastPrinted>2026-02-09T08:28:00Z</cp:lastPrinted>
  <dcterms:created xsi:type="dcterms:W3CDTF">2026-02-10T08:11:00Z</dcterms:created>
  <dcterms:modified xsi:type="dcterms:W3CDTF">2026-02-10T08:11:00Z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